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rPr>
          <w:sz w:val="28"/>
          <w:szCs w:val="28"/>
        </w:rPr>
      </w:pPr>
      <w:r>
        <w:rPr>
          <w:sz w:val="28"/>
          <w:szCs w:val="28"/>
        </w:rPr>
        <w:t xml:space="preserve">                                                           </w:t>
      </w:r>
      <w:r>
        <w:rPr>
          <w:sz w:val="28"/>
          <w:szCs w:val="28"/>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ППО (вектор) черная"/>
                    <pic:cNvPicPr>
                      <a:picLocks noChangeAspect="1" noChangeArrowheads="1"/>
                    </pic:cNvPicPr>
                  </pic:nvPicPr>
                  <pic:blipFill>
                    <a:blip r:embed="rId8" cstate="print"/>
                    <a:srcRect/>
                    <a:stretch>
                      <a:fillRect/>
                    </a:stretch>
                  </pic:blipFill>
                  <pic:spPr>
                    <a:xfrm>
                      <a:off x="0" y="0"/>
                      <a:ext cx="723900" cy="952500"/>
                    </a:xfrm>
                    <a:prstGeom prst="rect">
                      <a:avLst/>
                    </a:prstGeom>
                    <a:noFill/>
                    <a:ln w="9525">
                      <a:noFill/>
                      <a:miter lim="800000"/>
                      <a:headEnd/>
                      <a:tailEnd/>
                    </a:ln>
                  </pic:spPr>
                </pic:pic>
              </a:graphicData>
            </a:graphic>
          </wp:inline>
        </w:drawing>
      </w:r>
      <w:r>
        <w:rPr>
          <w:sz w:val="28"/>
          <w:szCs w:val="28"/>
        </w:rPr>
        <w:t xml:space="preserve">        </w:t>
      </w:r>
    </w:p>
    <w:p>
      <w:pPr>
        <w:pStyle w:val="33"/>
        <w:rPr>
          <w:b w:val="0"/>
          <w:sz w:val="28"/>
          <w:szCs w:val="28"/>
        </w:rPr>
      </w:pPr>
      <w:r>
        <w:rPr>
          <w:sz w:val="28"/>
          <w:szCs w:val="28"/>
        </w:rPr>
        <w:t xml:space="preserve">                                                                          </w:t>
      </w:r>
    </w:p>
    <w:p>
      <w:pPr>
        <w:pStyle w:val="32"/>
        <w:rPr>
          <w:sz w:val="28"/>
          <w:szCs w:val="28"/>
        </w:rPr>
      </w:pPr>
    </w:p>
    <w:p>
      <w:pPr>
        <w:jc w:val="center"/>
        <w:rPr>
          <w:b/>
          <w:sz w:val="28"/>
          <w:szCs w:val="28"/>
        </w:rPr>
      </w:pPr>
      <w:r>
        <w:rPr>
          <w:b/>
          <w:sz w:val="28"/>
          <w:szCs w:val="28"/>
        </w:rPr>
        <w:t>АДМИНИСТРАЦИЯ</w:t>
      </w:r>
    </w:p>
    <w:p>
      <w:pPr>
        <w:jc w:val="center"/>
        <w:rPr>
          <w:b/>
          <w:sz w:val="28"/>
          <w:szCs w:val="28"/>
        </w:rPr>
      </w:pPr>
      <w:r>
        <w:rPr>
          <w:b/>
          <w:sz w:val="28"/>
          <w:szCs w:val="28"/>
        </w:rPr>
        <w:t>КРИВОШЕЕВСКОГО  СЕЛЬСОВЕТА</w:t>
      </w:r>
    </w:p>
    <w:p>
      <w:pPr>
        <w:jc w:val="center"/>
        <w:rPr>
          <w:b/>
          <w:sz w:val="28"/>
          <w:szCs w:val="28"/>
        </w:rPr>
      </w:pPr>
      <w:r>
        <w:rPr>
          <w:b/>
          <w:sz w:val="28"/>
          <w:szCs w:val="28"/>
        </w:rPr>
        <w:t>НИЖНЕЛОМОВСКОГО  РАЙОНА</w:t>
      </w:r>
    </w:p>
    <w:p>
      <w:pPr>
        <w:jc w:val="center"/>
        <w:rPr>
          <w:b/>
          <w:sz w:val="28"/>
          <w:szCs w:val="28"/>
        </w:rPr>
      </w:pPr>
      <w:r>
        <w:rPr>
          <w:b/>
          <w:sz w:val="28"/>
          <w:szCs w:val="28"/>
        </w:rPr>
        <w:t>ПЕНЗЕНСКОЙ  ОБЛАСТИ</w:t>
      </w:r>
    </w:p>
    <w:p>
      <w:pPr>
        <w:pStyle w:val="32"/>
        <w:jc w:val="center"/>
        <w:rPr>
          <w:b/>
          <w:sz w:val="28"/>
          <w:szCs w:val="28"/>
        </w:rPr>
      </w:pPr>
    </w:p>
    <w:p>
      <w:pPr>
        <w:pStyle w:val="32"/>
        <w:jc w:val="center"/>
        <w:rPr>
          <w:b/>
          <w:sz w:val="28"/>
          <w:szCs w:val="28"/>
        </w:rPr>
      </w:pPr>
      <w:r>
        <w:rPr>
          <w:b/>
          <w:sz w:val="28"/>
          <w:szCs w:val="28"/>
        </w:rPr>
        <w:t>ПОСТАНОВЛЕНИЕ</w:t>
      </w:r>
    </w:p>
    <w:p>
      <w:pPr>
        <w:rPr>
          <w:b/>
          <w:sz w:val="28"/>
          <w:szCs w:val="28"/>
        </w:rPr>
      </w:pPr>
    </w:p>
    <w:p>
      <w:pPr>
        <w:jc w:val="center"/>
        <w:rPr>
          <w:sz w:val="28"/>
          <w:szCs w:val="28"/>
          <w:lang w:val="ru-RU"/>
        </w:rPr>
      </w:pPr>
      <w:r>
        <w:rPr>
          <w:sz w:val="28"/>
          <w:szCs w:val="28"/>
        </w:rPr>
        <w:t xml:space="preserve">  </w:t>
      </w:r>
      <w:r>
        <w:rPr>
          <w:sz w:val="24"/>
          <w:szCs w:val="24"/>
        </w:rPr>
        <w:t xml:space="preserve">от  </w:t>
      </w:r>
      <w:r>
        <w:rPr>
          <w:sz w:val="24"/>
          <w:szCs w:val="24"/>
          <w:lang w:val="ru-RU"/>
        </w:rPr>
        <w:t>29</w:t>
      </w:r>
      <w:r>
        <w:rPr>
          <w:sz w:val="24"/>
          <w:szCs w:val="24"/>
        </w:rPr>
        <w:t>.</w:t>
      </w:r>
      <w:r>
        <w:rPr>
          <w:sz w:val="24"/>
          <w:szCs w:val="24"/>
          <w:lang w:val="ru-RU"/>
        </w:rPr>
        <w:t>01</w:t>
      </w:r>
      <w:r>
        <w:rPr>
          <w:sz w:val="24"/>
          <w:szCs w:val="24"/>
        </w:rPr>
        <w:t>.202</w:t>
      </w:r>
      <w:r>
        <w:rPr>
          <w:sz w:val="24"/>
          <w:szCs w:val="24"/>
          <w:lang w:val="ru-RU"/>
        </w:rPr>
        <w:t>1</w:t>
      </w:r>
      <w:r>
        <w:rPr>
          <w:sz w:val="24"/>
          <w:szCs w:val="24"/>
        </w:rPr>
        <w:t xml:space="preserve"> № </w:t>
      </w:r>
      <w:r>
        <w:rPr>
          <w:sz w:val="24"/>
          <w:szCs w:val="24"/>
          <w:lang w:val="ru-RU"/>
        </w:rPr>
        <w:t>10</w:t>
      </w:r>
      <w:r>
        <w:rPr>
          <w:sz w:val="24"/>
          <w:szCs w:val="24"/>
        </w:rPr>
        <w:t>/</w:t>
      </w:r>
      <w:r>
        <w:rPr>
          <w:sz w:val="24"/>
          <w:szCs w:val="24"/>
          <w:lang w:val="ru-RU"/>
        </w:rPr>
        <w:t>1</w:t>
      </w:r>
    </w:p>
    <w:p>
      <w:pPr>
        <w:jc w:val="center"/>
        <w:rPr>
          <w:sz w:val="24"/>
          <w:szCs w:val="24"/>
        </w:rPr>
      </w:pPr>
      <w:r>
        <w:rPr>
          <w:sz w:val="24"/>
          <w:szCs w:val="24"/>
        </w:rPr>
        <w:t>с. Кривошеевка</w:t>
      </w:r>
    </w:p>
    <w:p>
      <w:pPr>
        <w:jc w:val="center"/>
        <w:rPr>
          <w:sz w:val="24"/>
          <w:szCs w:val="24"/>
        </w:rPr>
      </w:pPr>
      <w:r>
        <w:rPr>
          <w:b/>
          <w:sz w:val="28"/>
          <w:szCs w:val="28"/>
        </w:rPr>
        <w:t xml:space="preserve"> </w:t>
      </w:r>
      <w:r>
        <w:rPr>
          <w:b/>
          <w:sz w:val="24"/>
          <w:szCs w:val="24"/>
        </w:rPr>
        <w:t>О внесении изменений в муниципальную программу</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w:t>
      </w:r>
      <w:r>
        <w:rPr>
          <w:b/>
          <w:sz w:val="24"/>
          <w:szCs w:val="24"/>
        </w:rPr>
        <w:t xml:space="preserve">, утверждённую  постановлением администрации Кривошеевского сельсовета  от </w:t>
      </w:r>
      <w:r>
        <w:rPr>
          <w:sz w:val="24"/>
          <w:szCs w:val="24"/>
        </w:rPr>
        <w:t xml:space="preserve">25.12.2019 № 238 </w:t>
      </w:r>
      <w:r>
        <w:rPr>
          <w:b/>
          <w:sz w:val="24"/>
          <w:szCs w:val="24"/>
        </w:rPr>
        <w:t>(с последующими изменениями)</w:t>
      </w:r>
    </w:p>
    <w:p>
      <w:pPr>
        <w:jc w:val="center"/>
        <w:rPr>
          <w:sz w:val="28"/>
          <w:szCs w:val="28"/>
        </w:rPr>
      </w:pPr>
      <w:r>
        <w:rPr>
          <w:rFonts w:eastAsia="Courier New"/>
          <w:b/>
          <w:bCs/>
          <w:spacing w:val="-2"/>
          <w:sz w:val="28"/>
          <w:szCs w:val="28"/>
        </w:rPr>
        <w:t xml:space="preserve"> </w:t>
      </w:r>
    </w:p>
    <w:p>
      <w:pPr>
        <w:ind w:firstLine="708"/>
        <w:jc w:val="both"/>
        <w:rPr>
          <w:sz w:val="24"/>
          <w:szCs w:val="24"/>
        </w:rPr>
      </w:pPr>
      <w:r>
        <w:rPr>
          <w:sz w:val="24"/>
          <w:szCs w:val="24"/>
        </w:rPr>
        <w:t xml:space="preserve">В целях улучшения  условий деятельности и повышение качества жизни населения,  руководствуясь  </w:t>
      </w:r>
      <w:r>
        <w:rPr>
          <w:sz w:val="24"/>
          <w:szCs w:val="24"/>
        </w:rPr>
        <w:fldChar w:fldCharType="begin"/>
      </w:r>
      <w:r>
        <w:rPr>
          <w:sz w:val="24"/>
          <w:szCs w:val="24"/>
        </w:rPr>
        <w:instrText xml:space="preserve"> HYPERLINK "file:///D:\\Save%20kri\\Сохранение\\Документы\\постановления\\программы%20все\\Совсем%20новая\\Муниципальная%20программа%2012.02.2014%20№13.doc" \l "sub_0" </w:instrText>
      </w:r>
      <w:r>
        <w:rPr>
          <w:sz w:val="24"/>
          <w:szCs w:val="24"/>
        </w:rPr>
        <w:fldChar w:fldCharType="separate"/>
      </w:r>
      <w:r>
        <w:rPr>
          <w:rStyle w:val="28"/>
          <w:color w:val="auto"/>
          <w:sz w:val="24"/>
          <w:szCs w:val="24"/>
          <w:u w:val="none"/>
        </w:rPr>
        <w:t>постановлением</w:t>
      </w:r>
      <w:r>
        <w:rPr>
          <w:rStyle w:val="28"/>
          <w:color w:val="auto"/>
          <w:sz w:val="24"/>
          <w:szCs w:val="24"/>
          <w:u w:val="none"/>
        </w:rPr>
        <w:fldChar w:fldCharType="end"/>
      </w:r>
      <w:r>
        <w:rPr>
          <w:sz w:val="24"/>
          <w:szCs w:val="24"/>
        </w:rPr>
        <w:t xml:space="preserve">  Правительства Российской Федерации от 31.05.2019 №696 «Комплексное развитие сельских территорий», и на основании статьи 23 Устава  Кривошеевского сельсовета  Нижнеломовского  района  Пензенской области ( с последующими изменениями)–</w:t>
      </w:r>
    </w:p>
    <w:p>
      <w:pPr>
        <w:jc w:val="center"/>
        <w:rPr>
          <w:sz w:val="24"/>
          <w:szCs w:val="24"/>
        </w:rPr>
      </w:pPr>
      <w:r>
        <w:rPr>
          <w:sz w:val="24"/>
          <w:szCs w:val="24"/>
        </w:rPr>
        <w:t>администрация Кривошеевского  сельсовета  Нижнеломовского района постановляет:</w:t>
      </w:r>
    </w:p>
    <w:p>
      <w:pPr>
        <w:jc w:val="both"/>
        <w:rPr>
          <w:sz w:val="24"/>
          <w:szCs w:val="24"/>
        </w:rPr>
      </w:pPr>
      <w:r>
        <w:rPr>
          <w:sz w:val="24"/>
          <w:szCs w:val="24"/>
        </w:rPr>
        <w:t xml:space="preserve">2. Внести изменения в муниципальную программу </w:t>
      </w:r>
      <w:r>
        <w:rPr>
          <w:rFonts w:eastAsia="Courier New"/>
          <w:b/>
          <w:bCs/>
          <w:sz w:val="24"/>
          <w:szCs w:val="24"/>
        </w:rPr>
        <w:t>«</w:t>
      </w:r>
      <w:r>
        <w:rPr>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Cs/>
          <w:spacing w:val="-2"/>
          <w:sz w:val="24"/>
          <w:szCs w:val="24"/>
        </w:rPr>
        <w:t xml:space="preserve">»    </w:t>
      </w:r>
      <w:r>
        <w:rPr>
          <w:sz w:val="24"/>
          <w:szCs w:val="24"/>
        </w:rPr>
        <w:t>согласно приложению</w:t>
      </w:r>
      <w:r>
        <w:rPr>
          <w:i/>
          <w:sz w:val="24"/>
          <w:szCs w:val="24"/>
        </w:rPr>
        <w:t>.</w:t>
      </w:r>
    </w:p>
    <w:p>
      <w:pPr>
        <w:jc w:val="both"/>
        <w:rPr>
          <w:sz w:val="24"/>
          <w:szCs w:val="24"/>
        </w:rPr>
      </w:pPr>
      <w:r>
        <w:rPr>
          <w:sz w:val="24"/>
          <w:szCs w:val="24"/>
        </w:rPr>
        <w:t>2. Настоящее постановление опубликовать в средстве массовой информации Комитета местного самоуправления Кривошеевского сельсовета «Местные ведомости».</w:t>
      </w:r>
    </w:p>
    <w:p>
      <w:pPr>
        <w:jc w:val="both"/>
        <w:rPr>
          <w:sz w:val="24"/>
          <w:szCs w:val="24"/>
        </w:rPr>
      </w:pPr>
      <w:r>
        <w:rPr>
          <w:sz w:val="24"/>
          <w:szCs w:val="24"/>
        </w:rPr>
        <w:t>3 Настоящее постановление вступает в силу  после его опубликования.</w:t>
      </w:r>
    </w:p>
    <w:p>
      <w:pPr>
        <w:jc w:val="both"/>
        <w:rPr>
          <w:sz w:val="24"/>
          <w:szCs w:val="24"/>
        </w:rPr>
      </w:pPr>
      <w:r>
        <w:rPr>
          <w:sz w:val="24"/>
          <w:szCs w:val="24"/>
        </w:rPr>
        <w:t>4.  Контроль за выполнением настоящего постановления возложить на главу администрации Кривошеевского сельсовета Нижнеломовского района Пензенской области.</w:t>
      </w:r>
    </w:p>
    <w:p>
      <w:pPr>
        <w:rPr>
          <w:sz w:val="24"/>
          <w:szCs w:val="24"/>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b/>
          <w:sz w:val="28"/>
          <w:szCs w:val="28"/>
        </w:rPr>
      </w:pPr>
      <w:r>
        <w:rPr>
          <w:b/>
          <w:sz w:val="28"/>
          <w:szCs w:val="28"/>
        </w:rPr>
        <w:t>Глава администрации</w:t>
      </w:r>
    </w:p>
    <w:p>
      <w:pPr>
        <w:rPr>
          <w:b/>
          <w:sz w:val="28"/>
          <w:szCs w:val="28"/>
        </w:rPr>
        <w:sectPr>
          <w:pgSz w:w="11906" w:h="16838"/>
          <w:pgMar w:top="654" w:right="850" w:bottom="567" w:left="1701" w:header="720" w:footer="720" w:gutter="0"/>
          <w:cols w:space="720" w:num="1"/>
        </w:sectPr>
      </w:pPr>
      <w:r>
        <w:rPr>
          <w:b/>
          <w:sz w:val="28"/>
          <w:szCs w:val="28"/>
        </w:rPr>
        <w:t>Кривошеевского сельсовета                                                     К.Ш.Ишмаков</w:t>
      </w:r>
    </w:p>
    <w:p>
      <w:pPr>
        <w:spacing w:line="200" w:lineRule="atLeast"/>
        <w:contextualSpacing/>
        <w:jc w:val="both"/>
        <w:rPr>
          <w:b/>
          <w:sz w:val="22"/>
          <w:szCs w:val="22"/>
        </w:rPr>
      </w:pPr>
    </w:p>
    <w:p>
      <w:pPr>
        <w:spacing w:line="200" w:lineRule="atLeast"/>
        <w:contextualSpacing/>
        <w:jc w:val="right"/>
        <w:rPr>
          <w:b/>
          <w:sz w:val="22"/>
          <w:szCs w:val="22"/>
        </w:rPr>
      </w:pPr>
      <w:r>
        <w:rPr>
          <w:b/>
          <w:sz w:val="22"/>
          <w:szCs w:val="22"/>
        </w:rPr>
        <w:t xml:space="preserve">Приложение № 1 </w:t>
      </w:r>
    </w:p>
    <w:p>
      <w:pPr>
        <w:spacing w:line="200" w:lineRule="atLeast"/>
        <w:contextualSpacing/>
        <w:jc w:val="right"/>
        <w:rPr>
          <w:b/>
          <w:sz w:val="22"/>
          <w:szCs w:val="22"/>
        </w:rPr>
      </w:pPr>
      <w:r>
        <w:rPr>
          <w:b/>
          <w:sz w:val="22"/>
          <w:szCs w:val="22"/>
        </w:rPr>
        <w:t xml:space="preserve">к постановлению администрации </w:t>
      </w:r>
    </w:p>
    <w:p>
      <w:pPr>
        <w:spacing w:line="200" w:lineRule="atLeast"/>
        <w:contextualSpacing/>
        <w:jc w:val="right"/>
        <w:rPr>
          <w:b/>
          <w:sz w:val="22"/>
          <w:szCs w:val="22"/>
        </w:rPr>
      </w:pPr>
      <w:r>
        <w:rPr>
          <w:b/>
          <w:sz w:val="22"/>
          <w:szCs w:val="22"/>
        </w:rPr>
        <w:t xml:space="preserve">Кривошеевского сельсовета </w:t>
      </w:r>
    </w:p>
    <w:p>
      <w:pPr>
        <w:spacing w:line="200" w:lineRule="atLeast"/>
        <w:contextualSpacing/>
        <w:jc w:val="right"/>
        <w:rPr>
          <w:b/>
          <w:sz w:val="22"/>
          <w:szCs w:val="22"/>
          <w:lang w:val="ru-RU"/>
        </w:rPr>
      </w:pPr>
      <w:r>
        <w:rPr>
          <w:b/>
          <w:sz w:val="22"/>
          <w:szCs w:val="22"/>
        </w:rPr>
        <w:t xml:space="preserve">от </w:t>
      </w:r>
      <w:r>
        <w:rPr>
          <w:b/>
          <w:sz w:val="22"/>
          <w:szCs w:val="22"/>
          <w:lang w:val="ru-RU"/>
        </w:rPr>
        <w:t>29</w:t>
      </w:r>
      <w:r>
        <w:rPr>
          <w:b/>
          <w:sz w:val="22"/>
          <w:szCs w:val="22"/>
        </w:rPr>
        <w:t>.</w:t>
      </w:r>
      <w:r>
        <w:rPr>
          <w:b/>
          <w:sz w:val="22"/>
          <w:szCs w:val="22"/>
          <w:lang w:val="ru-RU"/>
        </w:rPr>
        <w:t>01</w:t>
      </w:r>
      <w:r>
        <w:rPr>
          <w:b/>
          <w:sz w:val="22"/>
          <w:szCs w:val="22"/>
        </w:rPr>
        <w:t>.202</w:t>
      </w:r>
      <w:r>
        <w:rPr>
          <w:b/>
          <w:sz w:val="22"/>
          <w:szCs w:val="22"/>
          <w:lang w:val="ru-RU"/>
        </w:rPr>
        <w:t>1</w:t>
      </w:r>
      <w:r>
        <w:rPr>
          <w:b/>
          <w:sz w:val="22"/>
          <w:szCs w:val="22"/>
        </w:rPr>
        <w:t xml:space="preserve"> № </w:t>
      </w:r>
      <w:r>
        <w:rPr>
          <w:b/>
          <w:sz w:val="22"/>
          <w:szCs w:val="22"/>
          <w:lang w:val="ru-RU"/>
        </w:rPr>
        <w:t>10</w:t>
      </w:r>
      <w:r>
        <w:rPr>
          <w:b/>
          <w:sz w:val="22"/>
          <w:szCs w:val="22"/>
        </w:rPr>
        <w:t>/</w:t>
      </w:r>
      <w:r>
        <w:rPr>
          <w:b/>
          <w:sz w:val="22"/>
          <w:szCs w:val="22"/>
          <w:lang w:val="ru-RU"/>
        </w:rPr>
        <w:t>1</w:t>
      </w: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Муниципальной программы Кривошеевского сельсовета Нижнеломовского района Пензенской области</w:t>
      </w:r>
    </w:p>
    <w:p>
      <w:pPr>
        <w:jc w:val="cente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r>
        <w:rPr>
          <w:rFonts w:eastAsia="Courier New"/>
          <w:b/>
          <w:bCs/>
          <w:spacing w:val="-2"/>
          <w:sz w:val="28"/>
          <w:szCs w:val="28"/>
        </w:rPr>
        <w:t xml:space="preserve">  </w:t>
      </w:r>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rPr>
          <w:trHeight w:val="1104" w:hRule="atLeast"/>
        </w:trPr>
        <w:tc>
          <w:tcPr>
            <w:tcW w:w="2693" w:type="dxa"/>
            <w:tcBorders>
              <w:top w:val="single" w:color="auto" w:sz="4" w:space="0"/>
              <w:left w:val="single" w:color="auto" w:sz="4" w:space="0"/>
              <w:right w:val="single" w:color="auto" w:sz="4" w:space="0"/>
            </w:tcBorders>
          </w:tcPr>
          <w:p>
            <w:pPr>
              <w:rPr>
                <w:sz w:val="22"/>
                <w:szCs w:val="22"/>
              </w:rPr>
            </w:pPr>
          </w:p>
          <w:p>
            <w:pPr>
              <w:rPr>
                <w:sz w:val="22"/>
                <w:szCs w:val="22"/>
              </w:rPr>
            </w:pPr>
            <w:r>
              <w:rPr>
                <w:sz w:val="22"/>
                <w:szCs w:val="22"/>
              </w:rPr>
              <w:t>Наименование  муниципальной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 xml:space="preserve">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 </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Ответственный исполнитель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Администрация Кривошеевского сельсовета Нижнеломовского района Пензенской области  </w:t>
            </w:r>
          </w:p>
        </w:tc>
      </w:tr>
      <w:tr>
        <w:tblPrEx>
          <w:tblLayout w:type="fixed"/>
          <w:tblCellMar>
            <w:top w:w="102" w:type="dxa"/>
            <w:left w:w="62" w:type="dxa"/>
            <w:bottom w:w="102" w:type="dxa"/>
            <w:right w:w="62" w:type="dxa"/>
          </w:tblCellMar>
        </w:tblPrEx>
        <w:trPr>
          <w:trHeight w:val="1109" w:hRule="atLeast"/>
        </w:trPr>
        <w:tc>
          <w:tcPr>
            <w:tcW w:w="2693" w:type="dxa"/>
            <w:tcBorders>
              <w:top w:val="single" w:color="auto" w:sz="4" w:space="0"/>
              <w:left w:val="single" w:color="auto" w:sz="4" w:space="0"/>
              <w:right w:val="single" w:color="auto" w:sz="4" w:space="0"/>
            </w:tcBorders>
          </w:tcPr>
          <w:p>
            <w:pPr>
              <w:rPr>
                <w:sz w:val="22"/>
                <w:szCs w:val="22"/>
              </w:rPr>
            </w:pPr>
            <w:r>
              <w:rPr>
                <w:sz w:val="22"/>
                <w:szCs w:val="22"/>
              </w:rPr>
              <w:t>Цели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rFonts w:eastAsia="SimSun"/>
                <w:sz w:val="22"/>
                <w:szCs w:val="22"/>
              </w:rPr>
              <w:t>Улучшение</w:t>
            </w:r>
            <w:r>
              <w:rPr>
                <w:sz w:val="22"/>
                <w:szCs w:val="22"/>
              </w:rPr>
              <w:tab/>
            </w:r>
            <w:r>
              <w:rPr>
                <w:sz w:val="22"/>
                <w:szCs w:val="22"/>
              </w:rPr>
              <w:t>жилищных</w:t>
            </w:r>
            <w:r>
              <w:rPr>
                <w:sz w:val="22"/>
                <w:szCs w:val="22"/>
              </w:rPr>
              <w:tab/>
            </w:r>
            <w:r>
              <w:rPr>
                <w:sz w:val="22"/>
                <w:szCs w:val="22"/>
              </w:rPr>
              <w:t>условий</w:t>
            </w:r>
            <w:r>
              <w:rPr>
                <w:sz w:val="22"/>
                <w:szCs w:val="22"/>
              </w:rPr>
              <w:tab/>
            </w:r>
            <w:r>
              <w:rPr>
                <w:sz w:val="22"/>
                <w:szCs w:val="22"/>
              </w:rPr>
              <w:t>граждан,</w:t>
            </w:r>
          </w:p>
          <w:p>
            <w:pPr>
              <w:rPr>
                <w:sz w:val="22"/>
                <w:szCs w:val="22"/>
              </w:rPr>
            </w:pPr>
            <w:r>
              <w:rPr>
                <w:sz w:val="22"/>
                <w:szCs w:val="22"/>
              </w:rPr>
              <w:t>проживающих на сельских территориях</w:t>
            </w:r>
          </w:p>
          <w:p>
            <w:pPr>
              <w:rPr>
                <w:sz w:val="22"/>
                <w:szCs w:val="22"/>
              </w:rPr>
            </w:pPr>
            <w:r>
              <w:rPr>
                <w:sz w:val="22"/>
                <w:szCs w:val="22"/>
              </w:rP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pPr>
              <w:rPr>
                <w:sz w:val="22"/>
                <w:szCs w:val="22"/>
              </w:rPr>
            </w:pPr>
            <w:r>
              <w:rPr>
                <w:sz w:val="22"/>
                <w:szCs w:val="22"/>
              </w:rPr>
              <w:t>Задачи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удовлетворение потребностей сельского населения в благоустроенном жилье</w:t>
            </w:r>
          </w:p>
          <w:p>
            <w:pPr>
              <w:rPr>
                <w:sz w:val="22"/>
                <w:szCs w:val="22"/>
              </w:rPr>
            </w:pPr>
            <w:r>
              <w:rPr>
                <w:sz w:val="22"/>
                <w:szCs w:val="22"/>
              </w:rPr>
              <w:t>повышение уровня комплексного обустройства населенных пунктов, расположенных в сельской местности, объектами инженерной инфраструктуры , автомобильными дорогами общего пользования с твердым покрытием и социальной инфраструктурой</w:t>
            </w:r>
          </w:p>
        </w:tc>
      </w:tr>
      <w:tr>
        <w:tblPrEx>
          <w:tblLayout w:type="fixed"/>
          <w:tblCellMar>
            <w:top w:w="102" w:type="dxa"/>
            <w:left w:w="62" w:type="dxa"/>
            <w:bottom w:w="102" w:type="dxa"/>
            <w:right w:w="62" w:type="dxa"/>
          </w:tblCellMar>
        </w:tblPrEx>
        <w:trPr>
          <w:trHeight w:val="1129" w:hRule="atLeast"/>
        </w:trPr>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Целевые показатели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Ввод (приобретение) жилья для граждан, проживающих на сельских территориях, тыс. кв. м;</w:t>
            </w:r>
          </w:p>
          <w:p>
            <w:pPr>
              <w:rPr>
                <w:sz w:val="22"/>
                <w:szCs w:val="22"/>
              </w:rPr>
            </w:pPr>
            <w:r>
              <w:rPr>
                <w:sz w:val="22"/>
                <w:szCs w:val="22"/>
              </w:rP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rPr>
          <w:trHeight w:val="90" w:hRule="atLeast"/>
        </w:trPr>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и этапы реализации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реализации муниципальной Программы 2020-2025 годы.</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Объем и источники финансирования программы (по годам)</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b/>
                <w:bCs/>
                <w:sz w:val="22"/>
                <w:szCs w:val="22"/>
              </w:rPr>
              <w:t xml:space="preserve">Общий объем финансирования программы 2020-2025 г.г. </w:t>
            </w:r>
            <w:r>
              <w:rPr>
                <w:b/>
                <w:bCs/>
                <w:sz w:val="22"/>
                <w:szCs w:val="22"/>
                <w:lang w:val="ru-RU"/>
              </w:rPr>
              <w:t>1155897,1</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387587,9</w:t>
            </w:r>
            <w:r>
              <w:rPr>
                <w:sz w:val="22"/>
                <w:szCs w:val="22"/>
              </w:rPr>
              <w:t xml:space="preserve">   тыс.рублей                                                                 2021 год  -  </w:t>
            </w:r>
            <w:r>
              <w:rPr>
                <w:sz w:val="22"/>
                <w:szCs w:val="22"/>
                <w:lang w:val="ru-RU"/>
              </w:rPr>
              <w:t>221789,0</w:t>
            </w:r>
            <w:r>
              <w:rPr>
                <w:sz w:val="22"/>
                <w:szCs w:val="22"/>
              </w:rPr>
              <w:t xml:space="preserve">    тыс.рублей</w:t>
            </w:r>
          </w:p>
          <w:p>
            <w:pPr>
              <w:rPr>
                <w:sz w:val="22"/>
                <w:szCs w:val="22"/>
              </w:rPr>
            </w:pPr>
            <w:r>
              <w:rPr>
                <w:sz w:val="22"/>
                <w:szCs w:val="22"/>
              </w:rPr>
              <w:t xml:space="preserve">2022 год  - </w:t>
            </w:r>
            <w:r>
              <w:rPr>
                <w:sz w:val="22"/>
                <w:szCs w:val="22"/>
                <w:lang w:val="ru-RU"/>
              </w:rPr>
              <w:t xml:space="preserve"> 276585,4</w:t>
            </w:r>
            <w:r>
              <w:rPr>
                <w:sz w:val="22"/>
                <w:szCs w:val="22"/>
              </w:rPr>
              <w:t xml:space="preserve">    тыс.рублей</w:t>
            </w:r>
          </w:p>
          <w:p>
            <w:pPr>
              <w:rPr>
                <w:sz w:val="22"/>
                <w:szCs w:val="22"/>
              </w:rPr>
            </w:pPr>
            <w:r>
              <w:rPr>
                <w:sz w:val="22"/>
                <w:szCs w:val="22"/>
              </w:rPr>
              <w:t xml:space="preserve">2023 год  - </w:t>
            </w:r>
            <w:r>
              <w:rPr>
                <w:sz w:val="22"/>
                <w:szCs w:val="22"/>
                <w:lang w:val="ru-RU"/>
              </w:rPr>
              <w:t xml:space="preserve"> 269934,8</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 xml:space="preserve">Объем финансирования программы  из федерального бюджета                                                                </w:t>
            </w:r>
            <w:r>
              <w:rPr>
                <w:b/>
                <w:bCs/>
                <w:sz w:val="22"/>
                <w:szCs w:val="22"/>
                <w:lang w:val="ru-RU"/>
              </w:rPr>
              <w:t>1043297,3</w:t>
            </w:r>
            <w:r>
              <w:rPr>
                <w:b/>
                <w:bCs/>
                <w:sz w:val="22"/>
                <w:szCs w:val="22"/>
              </w:rPr>
              <w:t xml:space="preserve">  тыс.рублей в том числе по годам реализации:</w:t>
            </w:r>
            <w:r>
              <w:rPr>
                <w:sz w:val="22"/>
                <w:szCs w:val="22"/>
              </w:rPr>
              <w:t xml:space="preserve">                                                               </w:t>
            </w:r>
          </w:p>
          <w:p>
            <w:pPr>
              <w:rPr>
                <w:sz w:val="22"/>
                <w:szCs w:val="22"/>
              </w:rPr>
            </w:pPr>
            <w:r>
              <w:rPr>
                <w:sz w:val="22"/>
                <w:szCs w:val="22"/>
              </w:rPr>
              <w:t>2020 год  -  28</w:t>
            </w:r>
            <w:r>
              <w:rPr>
                <w:sz w:val="22"/>
                <w:szCs w:val="22"/>
                <w:lang w:val="ru-RU"/>
              </w:rPr>
              <w:t>3829,5</w:t>
            </w:r>
            <w:r>
              <w:rPr>
                <w:sz w:val="22"/>
                <w:szCs w:val="22"/>
              </w:rPr>
              <w:t xml:space="preserve">   тыс.рублей                                                                 2021 год  -  </w:t>
            </w:r>
            <w:r>
              <w:rPr>
                <w:sz w:val="22"/>
                <w:szCs w:val="22"/>
                <w:lang w:val="ru-RU"/>
              </w:rPr>
              <w:t>218412,8</w:t>
            </w:r>
            <w:r>
              <w:rPr>
                <w:sz w:val="22"/>
                <w:szCs w:val="22"/>
              </w:rPr>
              <w:t xml:space="preserve">    тыс.рублей</w:t>
            </w:r>
          </w:p>
          <w:p>
            <w:pPr>
              <w:rPr>
                <w:sz w:val="22"/>
                <w:szCs w:val="22"/>
              </w:rPr>
            </w:pPr>
            <w:r>
              <w:rPr>
                <w:sz w:val="22"/>
                <w:szCs w:val="22"/>
              </w:rPr>
              <w:t xml:space="preserve">2022 год  -  </w:t>
            </w:r>
            <w:r>
              <w:rPr>
                <w:sz w:val="22"/>
                <w:szCs w:val="22"/>
                <w:lang w:val="ru-RU"/>
              </w:rPr>
              <w:t>273819,5</w:t>
            </w:r>
            <w:r>
              <w:rPr>
                <w:sz w:val="22"/>
                <w:szCs w:val="22"/>
              </w:rPr>
              <w:t xml:space="preserve">   тыс.рублей</w:t>
            </w:r>
          </w:p>
          <w:p>
            <w:pPr>
              <w:rPr>
                <w:sz w:val="22"/>
                <w:szCs w:val="22"/>
              </w:rPr>
            </w:pPr>
            <w:r>
              <w:rPr>
                <w:sz w:val="22"/>
                <w:szCs w:val="22"/>
              </w:rPr>
              <w:t xml:space="preserve">2023 год  - </w:t>
            </w:r>
            <w:r>
              <w:rPr>
                <w:sz w:val="22"/>
                <w:szCs w:val="22"/>
                <w:lang w:val="ru-RU"/>
              </w:rPr>
              <w:t>267235,5</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бюджета   Пензенской области  3</w:t>
            </w:r>
            <w:r>
              <w:rPr>
                <w:b/>
                <w:bCs/>
                <w:sz w:val="22"/>
                <w:szCs w:val="22"/>
                <w:lang w:val="ru-RU"/>
              </w:rPr>
              <w:t>2352,2</w:t>
            </w:r>
            <w:r>
              <w:rPr>
                <w:b/>
                <w:bCs/>
                <w:sz w:val="22"/>
                <w:szCs w:val="22"/>
              </w:rPr>
              <w:t xml:space="preserve">  тыс.рублей в том числе по годам реализации:  </w:t>
            </w:r>
            <w:r>
              <w:rPr>
                <w:sz w:val="22"/>
                <w:szCs w:val="22"/>
              </w:rPr>
              <w:t xml:space="preserve">                                                               2020 год  -  </w:t>
            </w:r>
            <w:r>
              <w:rPr>
                <w:sz w:val="22"/>
                <w:szCs w:val="22"/>
                <w:lang w:val="ru-RU"/>
              </w:rPr>
              <w:t>24680,8</w:t>
            </w:r>
            <w:r>
              <w:rPr>
                <w:sz w:val="22"/>
                <w:szCs w:val="22"/>
              </w:rPr>
              <w:t xml:space="preserve">  тыс.рублей                                                                 2021 год  -  </w:t>
            </w:r>
            <w:r>
              <w:rPr>
                <w:sz w:val="22"/>
                <w:szCs w:val="22"/>
                <w:lang w:val="ru-RU"/>
              </w:rPr>
              <w:t>2206,2</w:t>
            </w:r>
            <w:r>
              <w:rPr>
                <w:sz w:val="22"/>
                <w:szCs w:val="22"/>
              </w:rPr>
              <w:t xml:space="preserve">   тыс.рублей</w:t>
            </w:r>
          </w:p>
          <w:p>
            <w:pPr>
              <w:rPr>
                <w:sz w:val="22"/>
                <w:szCs w:val="22"/>
              </w:rPr>
            </w:pPr>
            <w:r>
              <w:rPr>
                <w:sz w:val="22"/>
                <w:szCs w:val="22"/>
              </w:rPr>
              <w:t xml:space="preserve">2022 год  - </w:t>
            </w:r>
            <w:r>
              <w:rPr>
                <w:sz w:val="22"/>
                <w:szCs w:val="22"/>
                <w:lang w:val="ru-RU"/>
              </w:rPr>
              <w:t>2765,9</w:t>
            </w:r>
            <w:r>
              <w:rPr>
                <w:sz w:val="22"/>
                <w:szCs w:val="22"/>
              </w:rPr>
              <w:t xml:space="preserve">    тыс.рублей</w:t>
            </w:r>
          </w:p>
          <w:p>
            <w:pPr>
              <w:rPr>
                <w:sz w:val="22"/>
                <w:szCs w:val="22"/>
              </w:rPr>
            </w:pPr>
            <w:r>
              <w:rPr>
                <w:sz w:val="22"/>
                <w:szCs w:val="22"/>
              </w:rPr>
              <w:t xml:space="preserve">2023 год  - </w:t>
            </w:r>
            <w:r>
              <w:rPr>
                <w:sz w:val="22"/>
                <w:szCs w:val="22"/>
                <w:lang w:val="ru-RU"/>
              </w:rPr>
              <w:t>2699,3</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p>
            <w:pPr>
              <w:rPr>
                <w:sz w:val="22"/>
                <w:szCs w:val="22"/>
              </w:rPr>
            </w:pPr>
            <w:r>
              <w:rPr>
                <w:b/>
                <w:bCs/>
                <w:sz w:val="22"/>
                <w:szCs w:val="22"/>
              </w:rPr>
              <w:t xml:space="preserve">Объем финансирования программы  из бюджета Кривошеевского сельсовета   Нижнеломовского района  </w:t>
            </w:r>
            <w:r>
              <w:rPr>
                <w:b/>
                <w:bCs/>
                <w:sz w:val="22"/>
                <w:szCs w:val="22"/>
                <w:lang w:val="ru-RU"/>
              </w:rPr>
              <w:t>80247,6</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79077,6</w:t>
            </w:r>
            <w:r>
              <w:rPr>
                <w:sz w:val="22"/>
                <w:szCs w:val="22"/>
              </w:rPr>
              <w:t xml:space="preserve">   тыс.рублей                                                                 2021 год  -  </w:t>
            </w:r>
            <w:r>
              <w:rPr>
                <w:sz w:val="22"/>
                <w:szCs w:val="22"/>
                <w:lang w:val="ru-RU"/>
              </w:rPr>
              <w:t>1170,0</w:t>
            </w:r>
            <w:r>
              <w:rPr>
                <w:sz w:val="22"/>
                <w:szCs w:val="22"/>
              </w:rPr>
              <w:t xml:space="preserve">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внебюджетных источников 0,0  тыс.рублей в том числе по годам реализации:</w:t>
            </w:r>
            <w:r>
              <w:rPr>
                <w:sz w:val="22"/>
                <w:szCs w:val="22"/>
              </w:rPr>
              <w:t xml:space="preserve">                                                                 </w:t>
            </w:r>
          </w:p>
          <w:p>
            <w:pPr>
              <w:rPr>
                <w:sz w:val="22"/>
                <w:szCs w:val="22"/>
              </w:rPr>
            </w:pPr>
            <w:r>
              <w:rPr>
                <w:sz w:val="22"/>
                <w:szCs w:val="22"/>
              </w:rPr>
              <w:t>2020 год  -  0,0    тыс.рублей                                                                 2021 год  -  0,0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Увеличение численности населения Нижнеломовского района, в том числе Кривошеевского сельсовета и рост демографии </w:t>
            </w:r>
          </w:p>
        </w:tc>
      </w:tr>
    </w:tbl>
    <w:p>
      <w:pPr>
        <w:jc w:val="center"/>
        <w:rPr>
          <w:sz w:val="28"/>
          <w:szCs w:val="28"/>
        </w:rPr>
      </w:pPr>
    </w:p>
    <w:p>
      <w:pPr>
        <w:spacing w:line="200" w:lineRule="atLeast"/>
        <w:contextualSpacing/>
        <w:jc w:val="both"/>
        <w:rPr>
          <w:b/>
          <w:sz w:val="28"/>
          <w:szCs w:val="28"/>
        </w:rPr>
      </w:pP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 xml:space="preserve">подпрограммы 1 муниципальной  программы </w:t>
      </w:r>
    </w:p>
    <w:p>
      <w:pPr>
        <w:spacing w:line="200" w:lineRule="atLeast"/>
        <w:contextualSpacing/>
        <w:jc w:val="center"/>
        <w:rPr>
          <w:sz w:val="24"/>
          <w:szCs w:val="24"/>
        </w:rPr>
      </w:pPr>
      <w:r>
        <w:rPr>
          <w:b/>
          <w:sz w:val="24"/>
          <w:szCs w:val="24"/>
        </w:rPr>
        <w:t>Кривошеевского сельсовета Нижнеломовского района Пензенской области</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p>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rPr>
          <w:trHeight w:val="695"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Наименование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Создание условий для обеспечения доступным и комфортным  жильем сельского населения</w:t>
            </w:r>
          </w:p>
        </w:tc>
      </w:tr>
      <w:tr>
        <w:tblPrEx>
          <w:tblLayout w:type="fixed"/>
          <w:tblCellMar>
            <w:top w:w="102" w:type="dxa"/>
            <w:left w:w="62" w:type="dxa"/>
            <w:bottom w:w="102" w:type="dxa"/>
            <w:right w:w="62" w:type="dxa"/>
          </w:tblCellMar>
        </w:tblPrEx>
        <w:trPr>
          <w:trHeight w:val="742" w:hRule="atLeast"/>
        </w:trPr>
        <w:tc>
          <w:tcPr>
            <w:tcW w:w="2693"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Ответственный исполнитель подпрограммы</w:t>
            </w:r>
          </w:p>
        </w:tc>
        <w:tc>
          <w:tcPr>
            <w:tcW w:w="359"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Администрация Кривошеевского сельсовета Нижнеломовского района Пензенской области</w:t>
            </w:r>
          </w:p>
        </w:tc>
      </w:tr>
      <w:tr>
        <w:tblPrEx>
          <w:tblLayout w:type="fixed"/>
          <w:tblCellMar>
            <w:top w:w="102" w:type="dxa"/>
            <w:left w:w="62" w:type="dxa"/>
            <w:bottom w:w="102" w:type="dxa"/>
            <w:right w:w="62" w:type="dxa"/>
          </w:tblCellMar>
        </w:tblPrEx>
        <w:trPr>
          <w:trHeight w:val="1005"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Цели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eastAsia="SimSun" w:cs="Times New Roman"/>
                <w:sz w:val="22"/>
                <w:szCs w:val="22"/>
              </w:rPr>
              <w:t>Улучшение</w:t>
            </w:r>
            <w:r>
              <w:rPr>
                <w:rFonts w:hint="default" w:ascii="Times New Roman" w:hAnsi="Times New Roman" w:cs="Times New Roman"/>
                <w:sz w:val="22"/>
                <w:szCs w:val="22"/>
              </w:rPr>
              <w:tab/>
            </w:r>
            <w:r>
              <w:rPr>
                <w:rFonts w:hint="default" w:ascii="Times New Roman" w:hAnsi="Times New Roman" w:cs="Times New Roman"/>
                <w:sz w:val="22"/>
                <w:szCs w:val="22"/>
              </w:rPr>
              <w:t>жилищных</w:t>
            </w:r>
            <w:r>
              <w:rPr>
                <w:rFonts w:hint="default" w:ascii="Times New Roman" w:hAnsi="Times New Roman" w:cs="Times New Roman"/>
                <w:sz w:val="22"/>
                <w:szCs w:val="22"/>
              </w:rPr>
              <w:tab/>
            </w:r>
            <w:r>
              <w:rPr>
                <w:rFonts w:hint="default" w:ascii="Times New Roman" w:hAnsi="Times New Roman" w:cs="Times New Roman"/>
                <w:sz w:val="22"/>
                <w:szCs w:val="22"/>
              </w:rPr>
              <w:t>условий</w:t>
            </w:r>
            <w:r>
              <w:rPr>
                <w:rFonts w:hint="default" w:ascii="Times New Roman" w:hAnsi="Times New Roman" w:cs="Times New Roman"/>
                <w:sz w:val="22"/>
                <w:szCs w:val="22"/>
              </w:rPr>
              <w:tab/>
            </w:r>
            <w:r>
              <w:rPr>
                <w:rFonts w:hint="default" w:ascii="Times New Roman" w:hAnsi="Times New Roman" w:cs="Times New Roman"/>
                <w:sz w:val="22"/>
                <w:szCs w:val="22"/>
              </w:rPr>
              <w:t>граждан,</w:t>
            </w:r>
          </w:p>
          <w:p>
            <w:pPr>
              <w:jc w:val="both"/>
              <w:rPr>
                <w:rFonts w:hint="default" w:ascii="Times New Roman" w:hAnsi="Times New Roman" w:cs="Times New Roman"/>
                <w:sz w:val="22"/>
                <w:szCs w:val="22"/>
              </w:rPr>
            </w:pPr>
            <w:r>
              <w:rPr>
                <w:rFonts w:hint="default" w:ascii="Times New Roman" w:hAnsi="Times New Roman" w:cs="Times New Roman"/>
                <w:sz w:val="22"/>
                <w:szCs w:val="22"/>
              </w:rPr>
              <w:t>проживающих на сельских территориях</w:t>
            </w:r>
          </w:p>
          <w:p>
            <w:pPr>
              <w:jc w:val="both"/>
              <w:rPr>
                <w:rFonts w:hint="default" w:ascii="Times New Roman" w:hAnsi="Times New Roman" w:cs="Times New Roman"/>
                <w:sz w:val="22"/>
                <w:szCs w:val="22"/>
              </w:rPr>
            </w:pPr>
            <w:r>
              <w:rPr>
                <w:rFonts w:hint="default" w:ascii="Times New Roman" w:hAnsi="Times New Roman" w:cs="Times New Roman"/>
                <w:sz w:val="22"/>
                <w:szCs w:val="22"/>
              </w:rP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rPr>
          <w:trHeight w:val="632"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Задачи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vAlign w:val="top"/>
          </w:tcPr>
          <w:p>
            <w:pPr>
              <w:jc w:val="left"/>
              <w:rPr>
                <w:rFonts w:hint="default" w:ascii="Times New Roman" w:hAnsi="Times New Roman" w:cs="Times New Roman"/>
                <w:sz w:val="22"/>
                <w:szCs w:val="22"/>
              </w:rPr>
            </w:pPr>
            <w:r>
              <w:rPr>
                <w:rFonts w:hint="default" w:ascii="Times New Roman" w:hAnsi="Times New Roman" w:cs="Times New Roman"/>
                <w:sz w:val="22"/>
                <w:szCs w:val="22"/>
              </w:rPr>
              <w:t>Целевые показатели подпрограммы</w:t>
            </w:r>
          </w:p>
        </w:tc>
        <w:tc>
          <w:tcPr>
            <w:tcW w:w="359"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Ввод (приобретение) жилья для граждан, проживающих на сельских территориях, тыс. кв. м;</w:t>
            </w:r>
          </w:p>
          <w:p>
            <w:pPr>
              <w:jc w:val="both"/>
              <w:rPr>
                <w:rFonts w:hint="default" w:ascii="Times New Roman" w:hAnsi="Times New Roman" w:cs="Times New Roman"/>
                <w:sz w:val="22"/>
                <w:szCs w:val="22"/>
              </w:rPr>
            </w:pPr>
            <w:r>
              <w:rPr>
                <w:rFonts w:hint="default" w:ascii="Times New Roman" w:hAnsi="Times New Roman" w:cs="Times New Roman"/>
                <w:sz w:val="22"/>
                <w:szCs w:val="22"/>
              </w:rP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rPr>
          <w:trHeight w:val="609" w:hRule="atLeast"/>
        </w:trPr>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Сроки и этапы реализации подпрограммы</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Сроки реализации муниципальной Программы 2020-2025 годы.</w:t>
            </w:r>
          </w:p>
        </w:tc>
      </w:tr>
      <w:tr>
        <w:tblPrEx>
          <w:tblLayout w:type="fixed"/>
          <w:tblCellMar>
            <w:top w:w="102" w:type="dxa"/>
            <w:left w:w="62" w:type="dxa"/>
            <w:bottom w:w="102" w:type="dxa"/>
            <w:right w:w="62" w:type="dxa"/>
          </w:tblCellMar>
        </w:tblPrEx>
        <w:trPr>
          <w:trHeight w:val="1254" w:hRule="atLeast"/>
        </w:trPr>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Объем и источники финансирования подпрограммы (по годам)</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b/>
                <w:bCs/>
                <w:sz w:val="22"/>
                <w:szCs w:val="22"/>
              </w:rPr>
              <w:t>Общий объем финансирования подпрограммы 2020-2025 г.г. 51</w:t>
            </w:r>
            <w:r>
              <w:rPr>
                <w:rFonts w:hint="default" w:ascii="Times New Roman" w:hAnsi="Times New Roman" w:cs="Times New Roman"/>
                <w:b/>
                <w:bCs/>
                <w:sz w:val="22"/>
                <w:szCs w:val="22"/>
                <w:lang w:val="ru-RU"/>
              </w:rPr>
              <w:t>1</w:t>
            </w:r>
            <w:r>
              <w:rPr>
                <w:rFonts w:hint="default" w:ascii="Times New Roman" w:hAnsi="Times New Roman" w:cs="Times New Roman"/>
                <w:b/>
                <w:bCs/>
                <w:sz w:val="22"/>
                <w:szCs w:val="22"/>
              </w:rPr>
              <w:t xml:space="preserve"> </w:t>
            </w:r>
            <w:r>
              <w:rPr>
                <w:rFonts w:hint="default" w:cs="Times New Roman"/>
                <w:b/>
                <w:bCs/>
                <w:sz w:val="22"/>
                <w:szCs w:val="22"/>
                <w:lang w:val="ru-RU"/>
              </w:rPr>
              <w:t>1155897,1</w:t>
            </w:r>
            <w:r>
              <w:rPr>
                <w:rFonts w:hint="default" w:ascii="Times New Roman" w:hAnsi="Times New Roman" w:cs="Times New Roman"/>
                <w:b/>
                <w:bCs/>
                <w:sz w:val="22"/>
                <w:szCs w:val="22"/>
              </w:rPr>
              <w:t xml:space="preserve"> тыс.рублей в том числе по годам реализации:</w:t>
            </w:r>
            <w:r>
              <w:rPr>
                <w:rFonts w:hint="default" w:ascii="Times New Roman" w:hAnsi="Times New Roman" w:cs="Times New Roman"/>
                <w:sz w:val="22"/>
                <w:szCs w:val="22"/>
              </w:rPr>
              <w:t xml:space="preserve">                                                                 2020 год  -  38</w:t>
            </w:r>
            <w:r>
              <w:rPr>
                <w:rFonts w:hint="default" w:ascii="Times New Roman" w:hAnsi="Times New Roman" w:cs="Times New Roman"/>
                <w:sz w:val="22"/>
                <w:szCs w:val="22"/>
                <w:lang w:val="ru-RU"/>
              </w:rPr>
              <w:t>7587,9</w:t>
            </w:r>
            <w:r>
              <w:rPr>
                <w:rFonts w:hint="default" w:ascii="Times New Roman" w:hAnsi="Times New Roman" w:cs="Times New Roman"/>
                <w:sz w:val="22"/>
                <w:szCs w:val="22"/>
              </w:rPr>
              <w:t xml:space="preserve">   тыс.рублей                                                                 2021 год  -  </w:t>
            </w:r>
            <w:r>
              <w:rPr>
                <w:rFonts w:hint="default" w:cs="Times New Roman"/>
                <w:sz w:val="22"/>
                <w:szCs w:val="22"/>
                <w:lang w:val="ru-RU"/>
              </w:rPr>
              <w:t>221789,0</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276585,4</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269934,8</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 xml:space="preserve">Объем финансирования подпрограммы  из федерального бюджета   </w:t>
            </w:r>
            <w:r>
              <w:rPr>
                <w:rFonts w:hint="default" w:cs="Times New Roman"/>
                <w:b/>
                <w:bCs/>
                <w:sz w:val="22"/>
                <w:szCs w:val="22"/>
                <w:lang w:val="ru-RU"/>
              </w:rPr>
              <w:t>1043297,3</w:t>
            </w:r>
            <w:r>
              <w:rPr>
                <w:rFonts w:hint="default" w:ascii="Times New Roman" w:hAnsi="Times New Roman" w:cs="Times New Roman"/>
                <w:b/>
                <w:bCs/>
                <w:sz w:val="22"/>
                <w:szCs w:val="22"/>
              </w:rPr>
              <w:t xml:space="preserve">  тыс.рублей в том числе по годам реализации:  </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2020 год  -  28</w:t>
            </w:r>
            <w:r>
              <w:rPr>
                <w:rFonts w:hint="default" w:ascii="Times New Roman" w:hAnsi="Times New Roman" w:cs="Times New Roman"/>
                <w:sz w:val="22"/>
                <w:szCs w:val="22"/>
                <w:lang w:val="ru-RU"/>
              </w:rPr>
              <w:t>3829,5</w:t>
            </w:r>
            <w:r>
              <w:rPr>
                <w:rFonts w:hint="default" w:ascii="Times New Roman" w:hAnsi="Times New Roman" w:cs="Times New Roman"/>
                <w:sz w:val="22"/>
                <w:szCs w:val="22"/>
              </w:rPr>
              <w:t xml:space="preserve">   тыс.рублей                                                                 2021 год  -  </w:t>
            </w:r>
            <w:r>
              <w:rPr>
                <w:rFonts w:hint="default" w:cs="Times New Roman"/>
                <w:sz w:val="22"/>
                <w:szCs w:val="22"/>
                <w:lang w:val="ru-RU"/>
              </w:rPr>
              <w:t>218412,8</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273819,5</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 xml:space="preserve"> 267235,5</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 xml:space="preserve">Объем финансирования подпрограммы  из бюджета   Пензенской области  </w:t>
            </w:r>
            <w:r>
              <w:rPr>
                <w:rFonts w:hint="default" w:cs="Times New Roman"/>
                <w:b/>
                <w:bCs/>
                <w:sz w:val="22"/>
                <w:szCs w:val="22"/>
                <w:lang w:val="ru-RU"/>
              </w:rPr>
              <w:t>32352,2</w:t>
            </w:r>
            <w:r>
              <w:rPr>
                <w:rFonts w:hint="default" w:ascii="Times New Roman" w:hAnsi="Times New Roman" w:cs="Times New Roman"/>
                <w:b/>
                <w:bCs/>
                <w:sz w:val="22"/>
                <w:szCs w:val="22"/>
              </w:rPr>
              <w:t xml:space="preserve"> тыс.рублей в том числе по годам реализации</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2020 год  -  24</w:t>
            </w:r>
            <w:r>
              <w:rPr>
                <w:rFonts w:hint="default" w:ascii="Times New Roman" w:hAnsi="Times New Roman" w:cs="Times New Roman"/>
                <w:sz w:val="22"/>
                <w:szCs w:val="22"/>
                <w:lang w:val="ru-RU"/>
              </w:rPr>
              <w:t>680</w:t>
            </w:r>
            <w:r>
              <w:rPr>
                <w:rFonts w:hint="default" w:ascii="Times New Roman" w:hAnsi="Times New Roman" w:cs="Times New Roman"/>
                <w:sz w:val="22"/>
                <w:szCs w:val="22"/>
              </w:rPr>
              <w:t xml:space="preserve">,0   тыс.рублей                                                                 2021 год  -  </w:t>
            </w:r>
            <w:r>
              <w:rPr>
                <w:rFonts w:hint="default" w:cs="Times New Roman"/>
                <w:sz w:val="22"/>
                <w:szCs w:val="22"/>
                <w:lang w:val="ru-RU"/>
              </w:rPr>
              <w:t>2206,2</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2765,9</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2699,3</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Объем финансирования подпрограммы  из бюджета Кривошеевского сельсовета   Нижнеломовского района  </w:t>
            </w:r>
          </w:p>
          <w:p>
            <w:pPr>
              <w:rPr>
                <w:rFonts w:hint="default" w:ascii="Times New Roman" w:hAnsi="Times New Roman" w:cs="Times New Roman"/>
                <w:sz w:val="22"/>
                <w:szCs w:val="22"/>
              </w:rPr>
            </w:pPr>
            <w:r>
              <w:rPr>
                <w:rFonts w:hint="default" w:cs="Times New Roman"/>
                <w:b/>
                <w:bCs/>
                <w:sz w:val="22"/>
                <w:szCs w:val="22"/>
                <w:lang w:val="ru-RU"/>
              </w:rPr>
              <w:t>80</w:t>
            </w:r>
            <w:r>
              <w:rPr>
                <w:rFonts w:hint="default" w:ascii="Times New Roman" w:hAnsi="Times New Roman" w:cs="Times New Roman"/>
                <w:b/>
                <w:bCs/>
                <w:sz w:val="22"/>
                <w:szCs w:val="22"/>
              </w:rPr>
              <w:t xml:space="preserve"> </w:t>
            </w:r>
            <w:r>
              <w:rPr>
                <w:rFonts w:hint="default" w:cs="Times New Roman"/>
                <w:b/>
                <w:bCs/>
                <w:sz w:val="22"/>
                <w:szCs w:val="22"/>
                <w:lang w:val="ru-RU"/>
              </w:rPr>
              <w:t>24</w:t>
            </w:r>
            <w:r>
              <w:rPr>
                <w:rFonts w:hint="default" w:ascii="Times New Roman" w:hAnsi="Times New Roman" w:cs="Times New Roman"/>
                <w:b/>
                <w:bCs/>
                <w:sz w:val="22"/>
                <w:szCs w:val="22"/>
                <w:lang w:val="ru-RU"/>
              </w:rPr>
              <w:t>7</w:t>
            </w:r>
            <w:r>
              <w:rPr>
                <w:rFonts w:hint="default" w:ascii="Times New Roman" w:hAnsi="Times New Roman" w:cs="Times New Roman"/>
                <w:b/>
                <w:bCs/>
                <w:sz w:val="22"/>
                <w:szCs w:val="22"/>
              </w:rPr>
              <w:t>,6  тыс.рублей в том числе по годам реализации:</w:t>
            </w:r>
            <w:r>
              <w:rPr>
                <w:rFonts w:hint="default" w:ascii="Times New Roman" w:hAnsi="Times New Roman" w:cs="Times New Roman"/>
                <w:sz w:val="22"/>
                <w:szCs w:val="22"/>
              </w:rPr>
              <w:t xml:space="preserve">                                                                 2020 год  -  7</w:t>
            </w:r>
            <w:r>
              <w:rPr>
                <w:rFonts w:hint="default" w:ascii="Times New Roman" w:hAnsi="Times New Roman" w:cs="Times New Roman"/>
                <w:sz w:val="22"/>
                <w:szCs w:val="22"/>
                <w:lang w:val="ru-RU"/>
              </w:rPr>
              <w:t>9</w:t>
            </w:r>
            <w:r>
              <w:rPr>
                <w:rFonts w:hint="default" w:ascii="Times New Roman" w:hAnsi="Times New Roman" w:cs="Times New Roman"/>
                <w:sz w:val="22"/>
                <w:szCs w:val="22"/>
              </w:rPr>
              <w:t xml:space="preserve"> </w:t>
            </w:r>
            <w:r>
              <w:rPr>
                <w:rFonts w:hint="default" w:ascii="Times New Roman" w:hAnsi="Times New Roman" w:cs="Times New Roman"/>
                <w:sz w:val="22"/>
                <w:szCs w:val="22"/>
                <w:lang w:val="ru-RU"/>
              </w:rPr>
              <w:t>077</w:t>
            </w:r>
            <w:r>
              <w:rPr>
                <w:rFonts w:hint="default" w:ascii="Times New Roman" w:hAnsi="Times New Roman" w:cs="Times New Roman"/>
                <w:sz w:val="22"/>
                <w:szCs w:val="22"/>
              </w:rPr>
              <w:t xml:space="preserve">,6   тыс.рублей                                                                 2021 год  -  </w:t>
            </w:r>
            <w:r>
              <w:rPr>
                <w:rFonts w:hint="default" w:cs="Times New Roman"/>
                <w:sz w:val="22"/>
                <w:szCs w:val="22"/>
                <w:lang w:val="ru-RU"/>
              </w:rPr>
              <w:t>117</w:t>
            </w:r>
            <w:r>
              <w:rPr>
                <w:rFonts w:hint="default" w:ascii="Times New Roman" w:hAnsi="Times New Roman" w:cs="Times New Roman"/>
                <w:sz w:val="22"/>
                <w:szCs w:val="22"/>
              </w:rPr>
              <w:t>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2022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2023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Объем финансирования подпрограммы  из внебюджетных источников 0,0  тыс.рублей в том числе по годам реализации:</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2020 год  -  0,0   тыс.рублей                                                                 2021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2022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2023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Привлечение населения в Кривошеевский сельсовет и сохранение доли сельского населения.</w:t>
            </w:r>
          </w:p>
        </w:tc>
      </w:tr>
    </w:tbl>
    <w:p>
      <w:pPr>
        <w:pStyle w:val="66"/>
        <w:widowControl/>
        <w:ind w:right="360"/>
        <w:jc w:val="both"/>
        <w:outlineLvl w:val="0"/>
        <w:rPr>
          <w:rFonts w:ascii="Times New Roman" w:hAnsi="Times New Roman" w:cs="Times New Roman"/>
          <w:sz w:val="28"/>
          <w:szCs w:val="28"/>
        </w:rPr>
      </w:pPr>
    </w:p>
    <w:p>
      <w:pPr>
        <w:jc w:val="both"/>
        <w:rPr>
          <w:b/>
          <w:sz w:val="24"/>
          <w:szCs w:val="24"/>
        </w:rPr>
      </w:pPr>
    </w:p>
    <w:p>
      <w:pPr>
        <w:ind w:firstLine="709"/>
        <w:jc w:val="center"/>
        <w:rPr>
          <w:b/>
          <w:sz w:val="24"/>
          <w:szCs w:val="24"/>
        </w:rPr>
      </w:pPr>
      <w:r>
        <w:rPr>
          <w:b/>
          <w:sz w:val="24"/>
          <w:szCs w:val="24"/>
        </w:rPr>
        <w:t>Раздел</w:t>
      </w:r>
      <w:r>
        <w:rPr>
          <w:sz w:val="24"/>
          <w:szCs w:val="24"/>
        </w:rPr>
        <w:t xml:space="preserve"> </w:t>
      </w:r>
      <w:r>
        <w:rPr>
          <w:b/>
          <w:sz w:val="24"/>
          <w:szCs w:val="24"/>
        </w:rPr>
        <w:t>Характеристика проблемы и обоснование необходимости принятия Программы</w:t>
      </w:r>
    </w:p>
    <w:p>
      <w:pPr>
        <w:ind w:firstLine="709"/>
        <w:jc w:val="both"/>
        <w:rPr>
          <w:sz w:val="28"/>
          <w:szCs w:val="28"/>
        </w:rPr>
      </w:pPr>
    </w:p>
    <w:p>
      <w:pPr>
        <w:ind w:firstLine="709"/>
        <w:jc w:val="both"/>
        <w:rPr>
          <w:sz w:val="24"/>
          <w:szCs w:val="24"/>
        </w:rPr>
      </w:pPr>
      <w:r>
        <w:rPr>
          <w:sz w:val="24"/>
          <w:szCs w:val="24"/>
        </w:rPr>
        <w:t>На современном этапе развитию сельских территорий уделяется особое  внимание со стороны государства.</w:t>
      </w:r>
    </w:p>
    <w:p>
      <w:pPr>
        <w:ind w:firstLine="709"/>
        <w:jc w:val="both"/>
        <w:rPr>
          <w:sz w:val="24"/>
          <w:szCs w:val="24"/>
        </w:rPr>
      </w:pPr>
      <w:r>
        <w:rPr>
          <w:sz w:val="24"/>
          <w:szCs w:val="24"/>
        </w:rPr>
        <w:t xml:space="preserve">Решение задачи по повышению уровня и качества жизни населения, комплексному развитию сельских территорий, предусмотренной государственной программой Российской Федерации «Комплексное развитие сельских территорий», утвержденной постановлением Правительства Российской Федерации от 31.05.2019 № 696, требует принятия мер по созданию предпосылок для устойчивого развития сельских территорий путем: </w:t>
      </w:r>
    </w:p>
    <w:p>
      <w:pPr>
        <w:ind w:firstLine="709"/>
        <w:jc w:val="both"/>
        <w:rPr>
          <w:sz w:val="24"/>
          <w:szCs w:val="24"/>
        </w:rPr>
      </w:pPr>
    </w:p>
    <w:p>
      <w:pPr>
        <w:ind w:firstLine="709"/>
        <w:jc w:val="both"/>
        <w:rPr>
          <w:sz w:val="24"/>
          <w:szCs w:val="24"/>
        </w:rPr>
      </w:pPr>
      <w:r>
        <w:rPr>
          <w:sz w:val="24"/>
          <w:szCs w:val="24"/>
        </w:rPr>
        <w:t xml:space="preserve">- создания условий для обеспечения доступным и комфортным жильем сельского населения;                 </w:t>
      </w:r>
    </w:p>
    <w:p>
      <w:pPr>
        <w:ind w:firstLine="709"/>
        <w:jc w:val="both"/>
        <w:rPr>
          <w:sz w:val="24"/>
          <w:szCs w:val="24"/>
        </w:rPr>
      </w:pPr>
      <w:r>
        <w:rPr>
          <w:sz w:val="24"/>
          <w:szCs w:val="24"/>
        </w:rPr>
        <w:t>-   развитие рынка труда (кадрового потенциала) на сельских территориях;</w:t>
      </w:r>
    </w:p>
    <w:p>
      <w:pPr>
        <w:ind w:firstLine="709"/>
        <w:jc w:val="both"/>
        <w:rPr>
          <w:sz w:val="24"/>
          <w:szCs w:val="24"/>
        </w:rPr>
      </w:pPr>
      <w:r>
        <w:rPr>
          <w:sz w:val="24"/>
          <w:szCs w:val="24"/>
        </w:rPr>
        <w:t>-   создание и развитие инфраструктуры на сельских территориях;</w:t>
      </w:r>
    </w:p>
    <w:p>
      <w:pPr>
        <w:ind w:firstLine="709"/>
        <w:jc w:val="both"/>
        <w:rPr>
          <w:sz w:val="24"/>
          <w:szCs w:val="24"/>
        </w:rPr>
      </w:pPr>
      <w:r>
        <w:rPr>
          <w:sz w:val="24"/>
          <w:szCs w:val="24"/>
        </w:rPr>
        <w:t>В ходе экономических преобразований в аграрной сфере сформирован и наращивается производственный потенциал, дальнейшее эффективное развитие которого во многом зависит от стабильности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w:t>
      </w:r>
    </w:p>
    <w:p>
      <w:pPr>
        <w:ind w:firstLine="709"/>
        <w:jc w:val="both"/>
        <w:rPr>
          <w:sz w:val="24"/>
          <w:szCs w:val="24"/>
        </w:rPr>
      </w:pPr>
      <w:r>
        <w:rPr>
          <w:sz w:val="24"/>
          <w:szCs w:val="24"/>
        </w:rPr>
        <w:t>Дальнейшее 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трудового ресурсного потенциала села.</w:t>
      </w:r>
    </w:p>
    <w:p>
      <w:pPr>
        <w:ind w:firstLine="709"/>
        <w:jc w:val="both"/>
        <w:rPr>
          <w:sz w:val="24"/>
          <w:szCs w:val="24"/>
        </w:rPr>
      </w:pPr>
      <w:r>
        <w:rPr>
          <w:sz w:val="24"/>
          <w:szCs w:val="24"/>
        </w:rPr>
        <w:t>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 высокий уровень затратности комплексного развития сельских территорий в связи с мелкодисперсным характером сельского расселения.</w:t>
      </w:r>
    </w:p>
    <w:p>
      <w:pPr>
        <w:ind w:firstLine="709"/>
        <w:jc w:val="both"/>
        <w:rPr>
          <w:sz w:val="24"/>
          <w:szCs w:val="24"/>
        </w:rPr>
      </w:pPr>
      <w:r>
        <w:rPr>
          <w:sz w:val="24"/>
          <w:szCs w:val="24"/>
        </w:rPr>
        <w:t>Сокращение   и    измельчение  сельской поселенческой структуры  приводит к запустению   сельских   территорий,   выбытию    из   оборота продуктивных земель сельскохозяйственного назначения, что угрожает  не только продовольственной, но и геополитической безопасности России.</w:t>
      </w:r>
    </w:p>
    <w:p>
      <w:pPr>
        <w:ind w:firstLine="709"/>
        <w:jc w:val="both"/>
        <w:rPr>
          <w:sz w:val="24"/>
          <w:szCs w:val="24"/>
        </w:rPr>
      </w:pPr>
      <w:r>
        <w:rPr>
          <w:sz w:val="24"/>
          <w:szCs w:val="24"/>
        </w:rPr>
        <w:t>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 Уровень обустройства сельского жилищного фонда в 2 – 3 раза ниже  городского уровня.</w:t>
      </w:r>
    </w:p>
    <w:p>
      <w:pPr>
        <w:ind w:firstLine="709"/>
        <w:jc w:val="both"/>
        <w:rPr>
          <w:sz w:val="24"/>
          <w:szCs w:val="24"/>
        </w:rPr>
      </w:pPr>
      <w:r>
        <w:rPr>
          <w:sz w:val="24"/>
          <w:szCs w:val="24"/>
        </w:rPr>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трудового ресурсного потенциала аграрной отрасли.</w:t>
      </w:r>
    </w:p>
    <w:p>
      <w:pPr>
        <w:ind w:firstLine="709"/>
        <w:jc w:val="both"/>
        <w:rPr>
          <w:sz w:val="24"/>
          <w:szCs w:val="24"/>
        </w:rPr>
      </w:pPr>
      <w:r>
        <w:rPr>
          <w:sz w:val="24"/>
          <w:szCs w:val="24"/>
        </w:rPr>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pPr>
        <w:ind w:firstLine="709"/>
        <w:jc w:val="both"/>
        <w:rPr>
          <w:sz w:val="24"/>
          <w:szCs w:val="24"/>
        </w:rPr>
      </w:pPr>
      <w:r>
        <w:rPr>
          <w:sz w:val="24"/>
          <w:szCs w:val="24"/>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уровне.</w:t>
      </w:r>
    </w:p>
    <w:p>
      <w:pPr>
        <w:ind w:firstLine="709"/>
        <w:jc w:val="both"/>
        <w:rPr>
          <w:sz w:val="24"/>
          <w:szCs w:val="24"/>
        </w:rPr>
      </w:pPr>
      <w:r>
        <w:rPr>
          <w:sz w:val="24"/>
          <w:szCs w:val="24"/>
        </w:rPr>
        <w:t>Исходя из задач государственной политики на ближайший период и долгосрочную перспективу, для преодоления критического положения в сфере социального развития села необходимо проводить комплекс взаимоувязанных мероприятий, направленных на социальное развитие, осуществляемых в сельских поселениях. Таким образом, необходимость разработки и реализации Программы обусловлена:</w:t>
      </w:r>
    </w:p>
    <w:p>
      <w:pPr>
        <w:ind w:firstLine="709"/>
        <w:jc w:val="both"/>
        <w:rPr>
          <w:b/>
          <w:sz w:val="28"/>
          <w:szCs w:val="28"/>
        </w:rPr>
      </w:pPr>
      <w:r>
        <w:rPr>
          <w:sz w:val="24"/>
          <w:szCs w:val="24"/>
        </w:rPr>
        <w:t>- потребностью формирования базовых условий социального комфорта для расширенного воспроизводства и закрепления трудовых ресурсов, обеспечивающих эффективное решение стратегических задач, а также необходимостью обеспечения комплексного развития сельских территорий.</w:t>
      </w:r>
    </w:p>
    <w:p>
      <w:pPr>
        <w:ind w:firstLine="709"/>
        <w:jc w:val="center"/>
        <w:rPr>
          <w:sz w:val="28"/>
          <w:szCs w:val="28"/>
        </w:rPr>
      </w:pPr>
      <w:r>
        <w:rPr>
          <w:b/>
          <w:sz w:val="28"/>
          <w:szCs w:val="28"/>
        </w:rPr>
        <w:t>Основные цели и задачи Программы</w:t>
      </w:r>
    </w:p>
    <w:p>
      <w:pPr>
        <w:ind w:firstLine="709"/>
        <w:jc w:val="both"/>
        <w:rPr>
          <w:sz w:val="24"/>
          <w:szCs w:val="24"/>
        </w:rPr>
      </w:pPr>
      <w:r>
        <w:rPr>
          <w:sz w:val="24"/>
          <w:szCs w:val="24"/>
        </w:rPr>
        <w:t>Программа является инструментом реализации государственной политики в области комплексного развития сельских территорий, направления которой определены Постановлением Правительства Российской Федерации от 31.05.2019 № 696  об утверждении государственной программы Российской Федерации «Комплексное развитие сельских территорий» и государственной программы Пензенской области, утвержденной постановлением Правительства пензенской области от 11.12.2019 №778-пП. В соответствии с указанными программами  целями государственной политики в области развития сельских территорий являются повышение уровня и качества жизни сельского населения, замедление процессов депопуляции и стабилизация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pPr>
        <w:ind w:firstLine="709"/>
        <w:jc w:val="both"/>
        <w:rPr>
          <w:sz w:val="24"/>
          <w:szCs w:val="24"/>
        </w:rPr>
      </w:pPr>
      <w:r>
        <w:rPr>
          <w:sz w:val="24"/>
          <w:szCs w:val="24"/>
        </w:rPr>
        <w:t>С учетом целевых установок данных программ реализация Программы направлена на создание предпосылок для комплексного развития сельских территорий посредством достижения следующих целей:</w:t>
      </w:r>
    </w:p>
    <w:p>
      <w:pPr>
        <w:ind w:firstLine="709"/>
        <w:jc w:val="both"/>
        <w:rPr>
          <w:sz w:val="24"/>
          <w:szCs w:val="24"/>
        </w:rPr>
      </w:pPr>
      <w:r>
        <w:rPr>
          <w:sz w:val="24"/>
          <w:szCs w:val="24"/>
        </w:rPr>
        <w:t>создание комфортных условий жизнедеятельности в сельской местности;</w:t>
      </w:r>
    </w:p>
    <w:p>
      <w:pPr>
        <w:ind w:firstLine="709"/>
        <w:jc w:val="both"/>
        <w:rPr>
          <w:sz w:val="24"/>
          <w:szCs w:val="24"/>
        </w:rPr>
      </w:pPr>
      <w:r>
        <w:rPr>
          <w:sz w:val="24"/>
          <w:szCs w:val="24"/>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pPr>
        <w:ind w:firstLine="709"/>
        <w:jc w:val="both"/>
        <w:rPr>
          <w:sz w:val="24"/>
          <w:szCs w:val="24"/>
        </w:rPr>
      </w:pPr>
      <w:r>
        <w:rPr>
          <w:sz w:val="24"/>
          <w:szCs w:val="24"/>
        </w:rPr>
        <w:t>активизация участия граждан, проживающих в сельской местности, в реализации общественно значимых проектов;</w:t>
      </w:r>
    </w:p>
    <w:p>
      <w:pPr>
        <w:ind w:firstLine="709"/>
        <w:jc w:val="both"/>
        <w:rPr>
          <w:sz w:val="24"/>
          <w:szCs w:val="24"/>
        </w:rPr>
      </w:pPr>
      <w:r>
        <w:rPr>
          <w:sz w:val="24"/>
          <w:szCs w:val="24"/>
        </w:rPr>
        <w:t>формирование позитивного отношения к сельской местности и сельскому образу жизни.</w:t>
      </w:r>
    </w:p>
    <w:p>
      <w:pPr>
        <w:ind w:firstLine="709"/>
        <w:jc w:val="both"/>
        <w:rPr>
          <w:sz w:val="24"/>
          <w:szCs w:val="24"/>
        </w:rPr>
      </w:pPr>
      <w:r>
        <w:rPr>
          <w:sz w:val="24"/>
          <w:szCs w:val="24"/>
        </w:rPr>
        <w:t>Для достижения целей государственной политики в области устойчивого развития сельских территорий в рамках реализации Программы предусматривается решение следующих задач:</w:t>
      </w:r>
    </w:p>
    <w:p>
      <w:pPr>
        <w:ind w:firstLine="709"/>
        <w:jc w:val="both"/>
        <w:rPr>
          <w:sz w:val="24"/>
          <w:szCs w:val="24"/>
        </w:rPr>
      </w:pPr>
      <w:r>
        <w:rPr>
          <w:sz w:val="24"/>
          <w:szCs w:val="24"/>
        </w:rPr>
        <w:t>в области активизации участия граждан, проживающих в сельской местности, в реализации общественно значимых проектов – поддержка местных инициатив граждан, проживающих в сельской местности.</w:t>
      </w:r>
    </w:p>
    <w:p>
      <w:pPr>
        <w:ind w:firstLine="709"/>
        <w:jc w:val="both"/>
        <w:rPr>
          <w:sz w:val="24"/>
          <w:szCs w:val="24"/>
        </w:rPr>
      </w:pPr>
      <w:r>
        <w:rPr>
          <w:sz w:val="24"/>
          <w:szCs w:val="24"/>
        </w:rPr>
        <w:t>Обоснованием необходимости решения поставленных задач в сфере устойчивого развития сельских территорий для достижения целей Программы является:</w:t>
      </w:r>
    </w:p>
    <w:p>
      <w:pPr>
        <w:ind w:firstLine="709"/>
        <w:jc w:val="both"/>
        <w:rPr>
          <w:sz w:val="24"/>
          <w:szCs w:val="24"/>
        </w:rPr>
      </w:pPr>
      <w:r>
        <w:rPr>
          <w:sz w:val="24"/>
          <w:szCs w:val="24"/>
        </w:rPr>
        <w:t>-непривлекательность сельской местности как среды обитания и рост миграционных настроений, в том числе среди сельской молодежи;</w:t>
      </w:r>
    </w:p>
    <w:p>
      <w:pPr>
        <w:ind w:firstLine="709"/>
        <w:jc w:val="both"/>
        <w:rPr>
          <w:sz w:val="24"/>
          <w:szCs w:val="24"/>
        </w:rPr>
      </w:pPr>
      <w:r>
        <w:rPr>
          <w:sz w:val="24"/>
          <w:szCs w:val="24"/>
        </w:rPr>
        <w:t>-низкий уровень социальной активности сельского населения, не способствующий формированию активной гражданской позиции;</w:t>
      </w:r>
    </w:p>
    <w:p>
      <w:pPr>
        <w:ind w:firstLine="709"/>
        <w:jc w:val="both"/>
        <w:rPr>
          <w:sz w:val="24"/>
          <w:szCs w:val="24"/>
        </w:rPr>
      </w:pPr>
      <w:r>
        <w:rPr>
          <w:sz w:val="24"/>
          <w:szCs w:val="24"/>
        </w:rPr>
        <w:t>-отсутствие в обществе понимания значимости и перспектив развития сельских территорий.</w:t>
      </w:r>
    </w:p>
    <w:p>
      <w:pPr>
        <w:ind w:firstLine="709"/>
        <w:jc w:val="both"/>
        <w:rPr>
          <w:sz w:val="24"/>
          <w:szCs w:val="24"/>
        </w:rPr>
      </w:pPr>
      <w:r>
        <w:rPr>
          <w:sz w:val="24"/>
          <w:szCs w:val="24"/>
        </w:rPr>
        <w:t>Приоритетами Программы являются:</w:t>
      </w:r>
    </w:p>
    <w:p>
      <w:pPr>
        <w:ind w:firstLine="709"/>
        <w:jc w:val="both"/>
        <w:rPr>
          <w:sz w:val="24"/>
          <w:szCs w:val="24"/>
        </w:rPr>
      </w:pPr>
      <w:r>
        <w:rPr>
          <w:sz w:val="24"/>
          <w:szCs w:val="24"/>
        </w:rPr>
        <w:t>Улучшение социально-экономических и экологических условий жизнедеятельности сельского населения для формирования необходимой демографической и трудоресурсной базы;</w:t>
      </w:r>
    </w:p>
    <w:p>
      <w:pPr>
        <w:ind w:firstLine="709"/>
        <w:jc w:val="both"/>
        <w:rPr>
          <w:sz w:val="24"/>
          <w:szCs w:val="24"/>
        </w:rPr>
      </w:pPr>
      <w:r>
        <w:rPr>
          <w:sz w:val="24"/>
          <w:szCs w:val="24"/>
        </w:rPr>
        <w:t xml:space="preserve">Повышение заселенности сельских территорий, формирование сбалансированной системы расселения,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  </w:t>
      </w:r>
    </w:p>
    <w:p>
      <w:pPr>
        <w:ind w:firstLine="709"/>
        <w:jc w:val="both"/>
        <w:rPr>
          <w:sz w:val="24"/>
          <w:szCs w:val="24"/>
        </w:rPr>
      </w:pPr>
      <w:r>
        <w:rPr>
          <w:sz w:val="24"/>
          <w:szCs w:val="24"/>
        </w:rPr>
        <w:t xml:space="preserve"> В рамках Программы предполагается решение следующих задач:</w:t>
      </w:r>
    </w:p>
    <w:p>
      <w:pPr>
        <w:ind w:firstLine="709"/>
        <w:jc w:val="both"/>
        <w:rPr>
          <w:sz w:val="24"/>
          <w:szCs w:val="24"/>
        </w:rPr>
      </w:pPr>
      <w:r>
        <w:rPr>
          <w:sz w:val="24"/>
          <w:szCs w:val="24"/>
        </w:rPr>
        <w:t>Улучшение жилищных условий граждан, проживающих на сельских территориях;</w:t>
      </w:r>
    </w:p>
    <w:p>
      <w:pPr>
        <w:ind w:firstLine="709"/>
        <w:jc w:val="both"/>
        <w:rPr>
          <w:sz w:val="24"/>
          <w:szCs w:val="24"/>
        </w:rPr>
      </w:pPr>
      <w:r>
        <w:rPr>
          <w:sz w:val="24"/>
          <w:szCs w:val="24"/>
        </w:rPr>
        <w:t>Обеспечение занятости сельского населения;</w:t>
      </w:r>
    </w:p>
    <w:p>
      <w:pPr>
        <w:ind w:firstLine="709"/>
        <w:jc w:val="both"/>
        <w:rPr>
          <w:sz w:val="24"/>
          <w:szCs w:val="24"/>
        </w:rPr>
      </w:pPr>
      <w:r>
        <w:rPr>
          <w:sz w:val="24"/>
          <w:szCs w:val="24"/>
        </w:rPr>
        <w:t>Обеспечение создания комфортных условий жизнедеятельности в сельской местности.</w:t>
      </w:r>
    </w:p>
    <w:p>
      <w:pPr>
        <w:ind w:firstLine="709"/>
        <w:jc w:val="both"/>
        <w:rPr>
          <w:sz w:val="24"/>
          <w:szCs w:val="24"/>
        </w:rPr>
      </w:pPr>
      <w:r>
        <w:rPr>
          <w:sz w:val="24"/>
          <w:szCs w:val="24"/>
        </w:rPr>
        <w:t>Программа определяет цели, задачи, направления компексного развития сельских территорий, объема финансового обеспечения мероприятий, а также их целевые показатели.</w:t>
      </w:r>
    </w:p>
    <w:p>
      <w:pPr>
        <w:ind w:firstLine="709"/>
        <w:jc w:val="both"/>
        <w:rPr>
          <w:sz w:val="28"/>
          <w:szCs w:val="28"/>
        </w:rPr>
      </w:pPr>
      <w:r>
        <w:rPr>
          <w:sz w:val="24"/>
          <w:szCs w:val="24"/>
        </w:rPr>
        <w:t>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с тем ряд решений, предусмотренных Программой по повышению качества жизни на сельских территориях, позволит замедлить данную тенденцию, обеспечить сохранение численности сельского населения, в том числе молодежи, способствовать повышению уровня благосостояния населения.</w:t>
      </w:r>
    </w:p>
    <w:p>
      <w:pPr>
        <w:ind w:firstLine="709"/>
        <w:jc w:val="center"/>
        <w:rPr>
          <w:sz w:val="28"/>
          <w:szCs w:val="28"/>
        </w:rPr>
      </w:pPr>
      <w:r>
        <w:rPr>
          <w:b/>
          <w:sz w:val="28"/>
          <w:szCs w:val="28"/>
        </w:rPr>
        <w:t>Перечень программных мероприятий</w:t>
      </w:r>
    </w:p>
    <w:p>
      <w:pPr>
        <w:ind w:firstLine="709"/>
        <w:jc w:val="both"/>
        <w:rPr>
          <w:sz w:val="24"/>
          <w:szCs w:val="24"/>
        </w:rPr>
      </w:pPr>
      <w:r>
        <w:rPr>
          <w:sz w:val="24"/>
          <w:szCs w:val="24"/>
        </w:rPr>
        <w:t>Перечень мероприятий Программы  сформирован в соответствии с основными направлениями государственных программ комплексного развития сельских территорий, утвержденных постановлениями Правительством Российской федерации и Пензенской области с учетом анализа современного состояния и прогнозов развития,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на основе документов территориального планирования. Перечень общественно значимых проектов, претендующих на получение грантов, в рамках поддержки местных инициатив граждан, проживающих в сельской местности,  приведены в приложении №1.</w:t>
      </w:r>
    </w:p>
    <w:p>
      <w:pPr>
        <w:ind w:firstLine="709"/>
        <w:jc w:val="both"/>
        <w:rPr>
          <w:sz w:val="24"/>
          <w:szCs w:val="24"/>
        </w:rPr>
      </w:pPr>
      <w:r>
        <w:rPr>
          <w:sz w:val="24"/>
          <w:szCs w:val="24"/>
        </w:rPr>
        <w:t>Основным мероприятием подпрограммы 1 Программы является 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 Реализация указанного мероприятия направлена на обеспечение жильем сотрудников крупнейшего производителя мяса индейки ГК «Дамате» и даст возможность построить 10800 кв. м жилья для 160 семей. Для этих целей на территории Кривошеевского сельсовета имеется земельный участок, оснащенный инженерной инфраструктурой. Реализация данного мероприятия будет проводиться в соответствии с приложением №4 к государственной программе Российской Федерации «Комплексное развитие сельских территорий» и приложением №7 к государственной программе Пензенской области «Комплексное развитие сельских территорий Пензенской области», утвержденными постановлениями Правительства Российской Федерации и Пензенской области от 31.05.2019№696 и от 11.12.2019 №778-пП соответственно. Реализация мероприятий по благоустройству территории Кривошеевского сельсовета будет осуществляться в соответствии с приложениями №7 и №9 вышеуказанных нормативных документов соответственно.</w:t>
      </w:r>
    </w:p>
    <w:p>
      <w:pPr>
        <w:ind w:firstLine="709"/>
        <w:jc w:val="center"/>
        <w:rPr>
          <w:sz w:val="28"/>
          <w:szCs w:val="28"/>
        </w:rPr>
      </w:pPr>
      <w:r>
        <w:rPr>
          <w:b/>
          <w:sz w:val="28"/>
          <w:szCs w:val="28"/>
        </w:rPr>
        <w:t>Механизм реализации и управления Программой</w:t>
      </w:r>
    </w:p>
    <w:p>
      <w:pPr>
        <w:ind w:firstLine="709"/>
        <w:jc w:val="both"/>
        <w:rPr>
          <w:sz w:val="24"/>
          <w:szCs w:val="24"/>
        </w:rPr>
      </w:pPr>
      <w:r>
        <w:rPr>
          <w:sz w:val="24"/>
          <w:szCs w:val="24"/>
        </w:rPr>
        <w:t>Механизм реализации Программы основан на принципах софинансирования из федерального, областного, местного  бюджетов  и внебюджетных источников ( привлечение средств ГК «Дамате»), разграничения полномочий   и  ответственности всех  заинтересованных участников данной Программы.</w:t>
      </w:r>
    </w:p>
    <w:p>
      <w:pPr>
        <w:ind w:firstLine="709"/>
        <w:jc w:val="both"/>
        <w:rPr>
          <w:sz w:val="28"/>
          <w:szCs w:val="28"/>
        </w:rPr>
      </w:pPr>
      <w:r>
        <w:rPr>
          <w:sz w:val="24"/>
          <w:szCs w:val="24"/>
        </w:rPr>
        <w:t xml:space="preserve">Контроль за исполнением Программы осуществляет глава администрации Кривошеевского сельсовета Нижнеломовского района Пензенской области. </w:t>
      </w:r>
    </w:p>
    <w:p>
      <w:pPr>
        <w:ind w:firstLine="709"/>
        <w:jc w:val="center"/>
        <w:rPr>
          <w:sz w:val="28"/>
          <w:szCs w:val="28"/>
        </w:rPr>
      </w:pPr>
      <w:r>
        <w:rPr>
          <w:b/>
          <w:sz w:val="28"/>
          <w:szCs w:val="28"/>
        </w:rPr>
        <w:t>Ресурсное обеспечение программы</w:t>
      </w:r>
    </w:p>
    <w:p>
      <w:pPr>
        <w:ind w:firstLine="709"/>
        <w:jc w:val="both"/>
        <w:rPr>
          <w:sz w:val="24"/>
          <w:szCs w:val="24"/>
        </w:rPr>
      </w:pPr>
      <w:r>
        <w:rPr>
          <w:sz w:val="24"/>
          <w:szCs w:val="24"/>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pPr>
        <w:ind w:firstLine="709"/>
        <w:jc w:val="both"/>
        <w:rPr>
          <w:sz w:val="24"/>
          <w:szCs w:val="24"/>
        </w:rPr>
      </w:pPr>
      <w:r>
        <w:rPr>
          <w:sz w:val="24"/>
          <w:szCs w:val="24"/>
        </w:rPr>
        <w:t>Финансирование Программы осуществляется за счет консолидации средств федерального, областного, местного бюджетов  и внебюджетных источников. Внебюджетные источники включают собственные накопления населения, средства сельскохозяйственных предприятий, банковские кредитные ресурсы, средства иных инвесторов.</w:t>
      </w:r>
    </w:p>
    <w:p>
      <w:pPr>
        <w:ind w:firstLine="709"/>
        <w:jc w:val="both"/>
        <w:rPr>
          <w:sz w:val="24"/>
          <w:szCs w:val="24"/>
        </w:rPr>
      </w:pPr>
      <w:r>
        <w:rPr>
          <w:sz w:val="24"/>
          <w:szCs w:val="24"/>
        </w:rPr>
        <w:t>Финансирование мероприятий Программы за счет средств федерального, областного и местного бюджетов и внебюджетных источников осуществляется при согласовании выделения ассигнований на такие мероприятия за счет соответствующих источников.</w:t>
      </w:r>
    </w:p>
    <w:p>
      <w:pPr>
        <w:ind w:firstLine="709"/>
        <w:jc w:val="both"/>
        <w:rPr>
          <w:b/>
          <w:sz w:val="28"/>
          <w:szCs w:val="28"/>
        </w:rPr>
      </w:pPr>
      <w:r>
        <w:rPr>
          <w:sz w:val="24"/>
          <w:szCs w:val="24"/>
        </w:rPr>
        <w:t>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Объемы затрат и источники финансирования программных мероприятий отражены в приложении № 2 к Программе.</w:t>
      </w:r>
    </w:p>
    <w:p>
      <w:pPr>
        <w:jc w:val="center"/>
        <w:rPr>
          <w:sz w:val="28"/>
          <w:szCs w:val="28"/>
        </w:rPr>
      </w:pPr>
      <w:r>
        <w:rPr>
          <w:b/>
          <w:sz w:val="28"/>
          <w:szCs w:val="28"/>
        </w:rPr>
        <w:t>Ожидаемые результаты реализации</w:t>
      </w:r>
    </w:p>
    <w:p>
      <w:pPr>
        <w:ind w:firstLine="709"/>
        <w:jc w:val="both"/>
        <w:rPr>
          <w:sz w:val="24"/>
          <w:szCs w:val="24"/>
        </w:rPr>
      </w:pPr>
    </w:p>
    <w:p>
      <w:pPr>
        <w:ind w:firstLine="709"/>
        <w:jc w:val="both"/>
        <w:rPr>
          <w:sz w:val="24"/>
          <w:szCs w:val="24"/>
        </w:rPr>
      </w:pPr>
      <w:r>
        <w:rPr>
          <w:sz w:val="24"/>
          <w:szCs w:val="24"/>
        </w:rPr>
        <w:t>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Кривошеевского сельсовета.</w:t>
      </w:r>
    </w:p>
    <w:p>
      <w:pPr>
        <w:ind w:firstLine="709"/>
        <w:jc w:val="both"/>
        <w:rPr>
          <w:sz w:val="24"/>
          <w:szCs w:val="24"/>
        </w:rPr>
      </w:pPr>
      <w:r>
        <w:rPr>
          <w:sz w:val="24"/>
          <w:szCs w:val="24"/>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pPr>
        <w:ind w:firstLine="709"/>
        <w:jc w:val="both"/>
        <w:rPr>
          <w:sz w:val="24"/>
          <w:szCs w:val="24"/>
        </w:rPr>
      </w:pPr>
      <w:r>
        <w:rPr>
          <w:sz w:val="24"/>
          <w:szCs w:val="24"/>
        </w:rPr>
        <w:t>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Кривошеевского сельсовета.</w:t>
      </w:r>
    </w:p>
    <w:p>
      <w:pPr>
        <w:ind w:firstLine="709"/>
        <w:jc w:val="both"/>
        <w:rPr>
          <w:sz w:val="24"/>
          <w:szCs w:val="24"/>
        </w:rPr>
      </w:pPr>
      <w:r>
        <w:rPr>
          <w:sz w:val="24"/>
          <w:szCs w:val="24"/>
        </w:rPr>
        <w:t>Жители населенных пунктов Кривошеевского сельсовета почувствуют себя участниками в преобразовании своей малой Родины, у них возникнет желание своими делами и поступками нести ответственность  за ее</w:t>
      </w:r>
      <w:bookmarkStart w:id="2" w:name="_GoBack"/>
      <w:bookmarkEnd w:id="2"/>
      <w:r>
        <w:rPr>
          <w:sz w:val="24"/>
          <w:szCs w:val="24"/>
        </w:rPr>
        <w:t xml:space="preserve"> будущее.</w:t>
      </w:r>
    </w:p>
    <w:p>
      <w:pPr>
        <w:rPr>
          <w:sz w:val="24"/>
          <w:szCs w:val="24"/>
        </w:rPr>
        <w:sectPr>
          <w:headerReference r:id="rId4" w:type="first"/>
          <w:headerReference r:id="rId3" w:type="default"/>
          <w:footerReference r:id="rId5" w:type="default"/>
          <w:endnotePr>
            <w:numFmt w:val="decimal"/>
          </w:endnotePr>
          <w:pgSz w:w="11907" w:h="16840"/>
          <w:pgMar w:top="567" w:right="851" w:bottom="567" w:left="1418" w:header="720" w:footer="720" w:gutter="0"/>
          <w:paperSrc/>
          <w:pgNumType w:start="1"/>
          <w:cols w:space="0" w:num="1"/>
          <w:titlePg/>
          <w:rtlGutter w:val="0"/>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center"/>
              <w:outlineLvl w:val="1"/>
            </w:pPr>
          </w:p>
        </w:tc>
        <w:tc>
          <w:tcPr>
            <w:tcW w:w="5220" w:type="dxa"/>
          </w:tcPr>
          <w:p>
            <w:pPr>
              <w:jc w:val="center"/>
            </w:pPr>
            <w:r>
              <w:t>Приложение № 1</w:t>
            </w:r>
          </w:p>
          <w:p>
            <w:pPr>
              <w:jc w:val="center"/>
            </w:pPr>
            <w:r>
              <w:t>к муниципальной программе</w:t>
            </w:r>
          </w:p>
          <w:p>
            <w:pPr>
              <w:autoSpaceDE w:val="0"/>
              <w:autoSpaceDN w:val="0"/>
              <w:jc w:val="center"/>
              <w:outlineLvl w:val="1"/>
            </w:pPr>
            <w: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c>
      </w:tr>
    </w:tbl>
    <w:p>
      <w:pPr>
        <w:rPr>
          <w:sz w:val="28"/>
          <w:szCs w:val="28"/>
        </w:rPr>
      </w:pPr>
    </w:p>
    <w:p>
      <w:pPr>
        <w:tabs>
          <w:tab w:val="left" w:pos="7938"/>
        </w:tabs>
        <w:autoSpaceDE w:val="0"/>
        <w:autoSpaceDN w:val="0"/>
        <w:adjustRightInd w:val="0"/>
        <w:spacing w:before="280"/>
        <w:jc w:val="center"/>
        <w:rPr>
          <w:b/>
          <w:bCs/>
        </w:rPr>
      </w:pPr>
      <w:r>
        <w:rPr>
          <w:b/>
          <w:bCs/>
        </w:rPr>
        <w:t>Перечень</w:t>
      </w:r>
    </w:p>
    <w:p>
      <w:pPr>
        <w:autoSpaceDE w:val="0"/>
        <w:autoSpaceDN w:val="0"/>
        <w:adjustRightInd w:val="0"/>
        <w:jc w:val="center"/>
        <w:rPr>
          <w:b/>
        </w:rPr>
      </w:pPr>
      <w:r>
        <w:rPr>
          <w:b/>
          <w:bCs/>
        </w:rPr>
        <w:t xml:space="preserve">целевых показателей программы </w:t>
      </w:r>
      <w:r>
        <w:rPr>
          <w:b/>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bl>
      <w:tblPr>
        <w:tblStyle w:val="30"/>
        <w:tblW w:w="15111" w:type="dxa"/>
        <w:tblInd w:w="-60" w:type="dxa"/>
        <w:tblLayout w:type="fixed"/>
        <w:tblCellMar>
          <w:top w:w="102" w:type="dxa"/>
          <w:left w:w="62" w:type="dxa"/>
          <w:bottom w:w="102" w:type="dxa"/>
          <w:right w:w="62" w:type="dxa"/>
        </w:tblCellMar>
      </w:tblPr>
      <w:tblGrid>
        <w:gridCol w:w="710"/>
        <w:gridCol w:w="5953"/>
        <w:gridCol w:w="1440"/>
        <w:gridCol w:w="1110"/>
        <w:gridCol w:w="1077"/>
        <w:gridCol w:w="1191"/>
        <w:gridCol w:w="1134"/>
        <w:gridCol w:w="1247"/>
        <w:gridCol w:w="1249"/>
      </w:tblGrid>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Ответственный исполнитель</w:t>
            </w:r>
          </w:p>
        </w:tc>
        <w:tc>
          <w:tcPr>
            <w:tcW w:w="8448" w:type="dxa"/>
            <w:gridSpan w:val="7"/>
            <w:tcBorders>
              <w:top w:val="single" w:color="auto" w:sz="4" w:space="0"/>
              <w:left w:val="single" w:color="auto" w:sz="4" w:space="0"/>
              <w:right w:val="single" w:color="auto" w:sz="4" w:space="0"/>
            </w:tcBorders>
          </w:tcPr>
          <w:p>
            <w:pPr>
              <w:autoSpaceDE w:val="0"/>
              <w:autoSpaceDN w:val="0"/>
              <w:adjustRightInd w:val="0"/>
              <w:jc w:val="center"/>
            </w:pPr>
            <w:r>
              <w:t>Администрация Кривошеевского сельсовета</w:t>
            </w:r>
          </w:p>
        </w:tc>
      </w:tr>
      <w:tr>
        <w:tblPrEx>
          <w:tblLayout w:type="fixed"/>
          <w:tblCellMar>
            <w:top w:w="102" w:type="dxa"/>
            <w:left w:w="62" w:type="dxa"/>
            <w:bottom w:w="102" w:type="dxa"/>
            <w:right w:w="62" w:type="dxa"/>
          </w:tblCellMar>
        </w:tblPrEx>
        <w:tc>
          <w:tcPr>
            <w:tcW w:w="710" w:type="dxa"/>
            <w:vMerge w:val="restart"/>
            <w:tcBorders>
              <w:top w:val="single" w:color="auto" w:sz="4" w:space="0"/>
              <w:left w:val="single" w:color="auto" w:sz="4" w:space="0"/>
              <w:right w:val="single" w:color="auto" w:sz="4" w:space="0"/>
            </w:tcBorders>
          </w:tcPr>
          <w:p>
            <w:pPr>
              <w:autoSpaceDE w:val="0"/>
              <w:autoSpaceDN w:val="0"/>
              <w:adjustRightInd w:val="0"/>
              <w:jc w:val="center"/>
            </w:pPr>
            <w:r>
              <w:t>№ п/п</w:t>
            </w:r>
          </w:p>
        </w:tc>
        <w:tc>
          <w:tcPr>
            <w:tcW w:w="5953" w:type="dxa"/>
            <w:vMerge w:val="restart"/>
            <w:tcBorders>
              <w:top w:val="single" w:color="auto" w:sz="4" w:space="0"/>
              <w:left w:val="single" w:color="auto" w:sz="4" w:space="0"/>
              <w:right w:val="single" w:color="auto" w:sz="4" w:space="0"/>
            </w:tcBorders>
          </w:tcPr>
          <w:p>
            <w:pPr>
              <w:autoSpaceDE w:val="0"/>
              <w:autoSpaceDN w:val="0"/>
              <w:adjustRightInd w:val="0"/>
              <w:jc w:val="center"/>
            </w:pPr>
            <w:r>
              <w:t>Наименование целевого показателя</w:t>
            </w:r>
          </w:p>
        </w:tc>
        <w:tc>
          <w:tcPr>
            <w:tcW w:w="1440" w:type="dxa"/>
            <w:vMerge w:val="restart"/>
            <w:tcBorders>
              <w:top w:val="single" w:color="auto" w:sz="4" w:space="0"/>
              <w:left w:val="single" w:color="auto" w:sz="4" w:space="0"/>
              <w:right w:val="single" w:color="auto" w:sz="4" w:space="0"/>
            </w:tcBorders>
          </w:tcPr>
          <w:p>
            <w:pPr>
              <w:autoSpaceDE w:val="0"/>
              <w:autoSpaceDN w:val="0"/>
              <w:adjustRightInd w:val="0"/>
              <w:jc w:val="center"/>
            </w:pPr>
            <w:r>
              <w:t>Единица измерения</w:t>
            </w:r>
          </w:p>
        </w:tc>
        <w:tc>
          <w:tcPr>
            <w:tcW w:w="7008" w:type="dxa"/>
            <w:gridSpan w:val="6"/>
            <w:tcBorders>
              <w:top w:val="single" w:color="auto" w:sz="4" w:space="0"/>
              <w:left w:val="single" w:color="auto" w:sz="4" w:space="0"/>
              <w:right w:val="single" w:color="auto" w:sz="4" w:space="0"/>
            </w:tcBorders>
          </w:tcPr>
          <w:p>
            <w:pPr>
              <w:autoSpaceDE w:val="0"/>
              <w:autoSpaceDN w:val="0"/>
              <w:adjustRightInd w:val="0"/>
              <w:jc w:val="center"/>
            </w:pPr>
            <w:r>
              <w:t>Значения целевых показателей</w:t>
            </w:r>
          </w:p>
        </w:tc>
      </w:tr>
      <w:tr>
        <w:tblPrEx>
          <w:tblLayout w:type="fixed"/>
          <w:tblCellMar>
            <w:top w:w="102" w:type="dxa"/>
            <w:left w:w="62" w:type="dxa"/>
            <w:bottom w:w="102" w:type="dxa"/>
            <w:right w:w="62" w:type="dxa"/>
          </w:tblCellMar>
        </w:tblPrEx>
        <w:tc>
          <w:tcPr>
            <w:tcW w:w="710" w:type="dxa"/>
            <w:vMerge w:val="continue"/>
            <w:tcBorders>
              <w:left w:val="single" w:color="auto" w:sz="4" w:space="0"/>
              <w:right w:val="single" w:color="auto" w:sz="4" w:space="0"/>
            </w:tcBorders>
          </w:tcPr>
          <w:p>
            <w:pPr>
              <w:autoSpaceDE w:val="0"/>
              <w:autoSpaceDN w:val="0"/>
              <w:adjustRightInd w:val="0"/>
              <w:jc w:val="center"/>
            </w:pPr>
          </w:p>
        </w:tc>
        <w:tc>
          <w:tcPr>
            <w:tcW w:w="5953" w:type="dxa"/>
            <w:vMerge w:val="continue"/>
            <w:tcBorders>
              <w:left w:val="single" w:color="auto" w:sz="4" w:space="0"/>
              <w:right w:val="single" w:color="auto" w:sz="4" w:space="0"/>
            </w:tcBorders>
          </w:tcPr>
          <w:p>
            <w:pPr>
              <w:autoSpaceDE w:val="0"/>
              <w:autoSpaceDN w:val="0"/>
              <w:adjustRightInd w:val="0"/>
              <w:jc w:val="center"/>
            </w:pPr>
          </w:p>
        </w:tc>
        <w:tc>
          <w:tcPr>
            <w:tcW w:w="1440" w:type="dxa"/>
            <w:vMerge w:val="continue"/>
            <w:tcBorders>
              <w:left w:val="single" w:color="auto" w:sz="4" w:space="0"/>
              <w:right w:val="single" w:color="auto" w:sz="4" w:space="0"/>
            </w:tcBorders>
          </w:tcPr>
          <w:p>
            <w:pPr>
              <w:autoSpaceDE w:val="0"/>
              <w:autoSpaceDN w:val="0"/>
              <w:adjustRightInd w:val="0"/>
              <w:jc w:val="center"/>
            </w:pP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2020 г.</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2021 г.</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2022 г.</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2023 г.</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2024 г.</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2025 г.</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2</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3</w:t>
            </w: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4</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5</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6</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7</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8</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9</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pPr>
            <w:r>
              <w:t xml:space="preserve">Прирост сельского населения </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процентов</w:t>
            </w:r>
          </w:p>
        </w:tc>
        <w:tc>
          <w:tcPr>
            <w:tcW w:w="1110" w:type="dxa"/>
            <w:tcBorders>
              <w:top w:val="single" w:color="auto" w:sz="4" w:space="0"/>
              <w:left w:val="single" w:color="auto" w:sz="4" w:space="0"/>
              <w:right w:val="single" w:color="auto" w:sz="4" w:space="0"/>
            </w:tcBorders>
            <w:vAlign w:val="top"/>
          </w:tcPr>
          <w:p>
            <w:pPr>
              <w:autoSpaceDE w:val="0"/>
              <w:autoSpaceDN w:val="0"/>
              <w:adjustRightInd w:val="0"/>
              <w:jc w:val="center"/>
            </w:pPr>
            <w:r>
              <w:t>2,0</w:t>
            </w:r>
          </w:p>
        </w:tc>
        <w:tc>
          <w:tcPr>
            <w:tcW w:w="1077" w:type="dxa"/>
            <w:tcBorders>
              <w:top w:val="single" w:color="auto" w:sz="4" w:space="0"/>
              <w:left w:val="single" w:color="auto" w:sz="4" w:space="0"/>
              <w:right w:val="single" w:color="auto" w:sz="4" w:space="0"/>
            </w:tcBorders>
            <w:vAlign w:val="top"/>
          </w:tcPr>
          <w:p>
            <w:pPr>
              <w:jc w:val="center"/>
            </w:pPr>
            <w:r>
              <w:t>2,0</w:t>
            </w:r>
          </w:p>
        </w:tc>
        <w:tc>
          <w:tcPr>
            <w:tcW w:w="1191" w:type="dxa"/>
            <w:tcBorders>
              <w:top w:val="single" w:color="auto" w:sz="4" w:space="0"/>
              <w:left w:val="single" w:color="auto" w:sz="4" w:space="0"/>
              <w:right w:val="single" w:color="auto" w:sz="4" w:space="0"/>
            </w:tcBorders>
            <w:vAlign w:val="top"/>
          </w:tcPr>
          <w:p>
            <w:pPr>
              <w:jc w:val="center"/>
            </w:pPr>
            <w:r>
              <w:t>2,0</w:t>
            </w:r>
          </w:p>
        </w:tc>
        <w:tc>
          <w:tcPr>
            <w:tcW w:w="1134" w:type="dxa"/>
            <w:tcBorders>
              <w:top w:val="single" w:color="auto" w:sz="4" w:space="0"/>
              <w:left w:val="single" w:color="auto" w:sz="4" w:space="0"/>
              <w:right w:val="single" w:color="auto" w:sz="4" w:space="0"/>
            </w:tcBorders>
            <w:vAlign w:val="top"/>
          </w:tcPr>
          <w:p>
            <w:pPr>
              <w:jc w:val="center"/>
            </w:pPr>
            <w:r>
              <w:t>2,0</w:t>
            </w:r>
          </w:p>
        </w:tc>
        <w:tc>
          <w:tcPr>
            <w:tcW w:w="1247" w:type="dxa"/>
            <w:tcBorders>
              <w:top w:val="single" w:color="auto" w:sz="4" w:space="0"/>
              <w:left w:val="single" w:color="auto" w:sz="4" w:space="0"/>
              <w:right w:val="single" w:color="auto" w:sz="4" w:space="0"/>
            </w:tcBorders>
            <w:vAlign w:val="top"/>
          </w:tcPr>
          <w:p>
            <w:pPr>
              <w:jc w:val="center"/>
            </w:pPr>
            <w:r>
              <w:t>2,0</w:t>
            </w:r>
          </w:p>
        </w:tc>
        <w:tc>
          <w:tcPr>
            <w:tcW w:w="1249" w:type="dxa"/>
            <w:tcBorders>
              <w:top w:val="single" w:color="auto" w:sz="4" w:space="0"/>
              <w:left w:val="single" w:color="auto" w:sz="4" w:space="0"/>
              <w:right w:val="single" w:color="auto" w:sz="4" w:space="0"/>
            </w:tcBorders>
            <w:vAlign w:val="top"/>
          </w:tcPr>
          <w:p>
            <w:pPr>
              <w:jc w:val="center"/>
            </w:pPr>
            <w:r>
              <w:t>2,0</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2</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(приобретение) жилья для граждан, проживающих на сельских территориях</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кв. 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077" w:type="dxa"/>
            <w:tcBorders>
              <w:top w:val="single" w:color="auto" w:sz="4" w:space="0"/>
              <w:left w:val="single" w:color="auto" w:sz="4" w:space="0"/>
              <w:bottom w:val="single" w:color="auto" w:sz="4" w:space="0"/>
              <w:right w:val="single" w:color="auto" w:sz="4" w:space="0"/>
            </w:tcBorders>
            <w:vAlign w:val="top"/>
          </w:tcPr>
          <w:p>
            <w:pPr>
              <w:jc w:val="center"/>
            </w:pPr>
          </w:p>
        </w:tc>
        <w:tc>
          <w:tcPr>
            <w:tcW w:w="1191" w:type="dxa"/>
            <w:tcBorders>
              <w:top w:val="single" w:color="auto" w:sz="4" w:space="0"/>
              <w:left w:val="single" w:color="auto" w:sz="4" w:space="0"/>
              <w:bottom w:val="single" w:color="auto" w:sz="4" w:space="0"/>
              <w:right w:val="single" w:color="auto" w:sz="4" w:space="0"/>
            </w:tcBorders>
            <w:vAlign w:val="top"/>
          </w:tcPr>
          <w:p>
            <w:pPr>
              <w:jc w:val="center"/>
            </w:pPr>
          </w:p>
        </w:tc>
        <w:tc>
          <w:tcPr>
            <w:tcW w:w="1134" w:type="dxa"/>
            <w:tcBorders>
              <w:top w:val="single" w:color="auto" w:sz="4" w:space="0"/>
              <w:left w:val="single" w:color="auto" w:sz="4" w:space="0"/>
              <w:bottom w:val="single" w:color="auto" w:sz="4" w:space="0"/>
              <w:right w:val="single" w:color="auto" w:sz="4" w:space="0"/>
            </w:tcBorders>
            <w:vAlign w:val="top"/>
          </w:tcPr>
          <w:p>
            <w:pPr>
              <w:jc w:val="center"/>
            </w:pPr>
          </w:p>
        </w:tc>
        <w:tc>
          <w:tcPr>
            <w:tcW w:w="1247" w:type="dxa"/>
            <w:tcBorders>
              <w:top w:val="single" w:color="auto" w:sz="4" w:space="0"/>
              <w:left w:val="single" w:color="auto" w:sz="4" w:space="0"/>
              <w:bottom w:val="single" w:color="auto" w:sz="4" w:space="0"/>
              <w:right w:val="single" w:color="auto" w:sz="4" w:space="0"/>
            </w:tcBorders>
            <w:vAlign w:val="top"/>
          </w:tcPr>
          <w:p>
            <w:pPr>
              <w:jc w:val="center"/>
            </w:pPr>
          </w:p>
        </w:tc>
        <w:tc>
          <w:tcPr>
            <w:tcW w:w="1249" w:type="dxa"/>
            <w:tcBorders>
              <w:top w:val="single" w:color="auto" w:sz="4" w:space="0"/>
              <w:left w:val="single" w:color="auto" w:sz="4" w:space="0"/>
              <w:bottom w:val="single" w:color="auto" w:sz="4" w:space="0"/>
              <w:right w:val="single" w:color="auto" w:sz="4" w:space="0"/>
            </w:tcBorders>
            <w:vAlign w:val="top"/>
          </w:tcPr>
          <w:p>
            <w:pPr>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3</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жилья, предоставленного гражданам по договорам найма жилого помещения</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 xml:space="preserve">кв. м </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10800</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6</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Количество благоустроенных контейнерных площадок</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единиц</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7</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 xml:space="preserve">Ввод в действие локальных водопроводов </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8</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в действие распределительных газовых сетей</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bl>
    <w:p>
      <w:pPr>
        <w:ind w:firstLine="709"/>
        <w:jc w:val="both"/>
        <w:rPr>
          <w:sz w:val="28"/>
          <w:szCs w:val="28"/>
        </w:rPr>
        <w:sectPr>
          <w:endnotePr>
            <w:numFmt w:val="decimal"/>
          </w:endnotePr>
          <w:pgSz w:w="16840" w:h="11907" w:orient="landscape"/>
          <w:pgMar w:top="1418" w:right="1134" w:bottom="851" w:left="1134" w:header="720" w:footer="720" w:gutter="0"/>
          <w:pgNumType w:start="1"/>
          <w:cols w:space="720" w:num="1"/>
          <w:titlePg/>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right"/>
              <w:outlineLvl w:val="1"/>
            </w:pPr>
            <w:r>
              <w:rPr>
                <w:sz w:val="28"/>
                <w:szCs w:val="28"/>
              </w:rPr>
              <w:br w:type="page"/>
            </w:r>
          </w:p>
        </w:tc>
        <w:tc>
          <w:tcPr>
            <w:tcW w:w="5220" w:type="dxa"/>
          </w:tcPr>
          <w:p>
            <w:pPr>
              <w:jc w:val="center"/>
            </w:pPr>
            <w:r>
              <w:t>Приложение № 2</w:t>
            </w:r>
          </w:p>
          <w:p>
            <w:pPr>
              <w:jc w:val="center"/>
            </w:pPr>
            <w: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pPr>
            <w:r>
              <w:t xml:space="preserve"> </w:t>
            </w: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реализации муниципальной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tbl>
      <w:tblPr>
        <w:tblStyle w:val="30"/>
        <w:tblW w:w="153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
        <w:gridCol w:w="420"/>
        <w:gridCol w:w="1717"/>
        <w:gridCol w:w="1969"/>
        <w:gridCol w:w="3118"/>
        <w:gridCol w:w="1248"/>
        <w:gridCol w:w="933"/>
        <w:gridCol w:w="343"/>
        <w:gridCol w:w="1372"/>
        <w:gridCol w:w="1414"/>
        <w:gridCol w:w="1309"/>
        <w:gridCol w:w="1242"/>
        <w:gridCol w:w="7"/>
        <w:gridCol w:w="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140" w:type="dxa"/>
            <w:gridSpan w:val="4"/>
          </w:tcPr>
          <w:p>
            <w:pPr>
              <w:jc w:val="center"/>
              <w:rPr>
                <w:rFonts w:hint="default" w:ascii="Times New Roman" w:hAnsi="Times New Roman" w:cs="Times New Roman"/>
                <w:sz w:val="22"/>
                <w:szCs w:val="22"/>
              </w:rPr>
            </w:pPr>
            <w:r>
              <w:rPr>
                <w:rFonts w:hint="default" w:ascii="Times New Roman" w:hAnsi="Times New Roman" w:cs="Times New Roman"/>
                <w:sz w:val="22"/>
                <w:szCs w:val="22"/>
              </w:rPr>
              <w:t>Ответственный исполнитель</w:t>
            </w:r>
          </w:p>
          <w:p>
            <w:pPr>
              <w:jc w:val="center"/>
              <w:rPr>
                <w:rFonts w:hint="default" w:ascii="Times New Roman" w:hAnsi="Times New Roman" w:cs="Times New Roman"/>
                <w:sz w:val="22"/>
                <w:szCs w:val="22"/>
              </w:rPr>
            </w:pPr>
            <w:r>
              <w:rPr>
                <w:rFonts w:hint="default" w:ascii="Times New Roman" w:hAnsi="Times New Roman" w:cs="Times New Roman"/>
                <w:sz w:val="22"/>
                <w:szCs w:val="22"/>
              </w:rPr>
              <w:t>государственной программы</w:t>
            </w:r>
          </w:p>
        </w:tc>
        <w:tc>
          <w:tcPr>
            <w:tcW w:w="10986" w:type="dxa"/>
            <w:gridSpan w:val="9"/>
          </w:tcPr>
          <w:p>
            <w:pPr>
              <w:jc w:val="center"/>
              <w:rPr>
                <w:rFonts w:hint="default" w:ascii="Times New Roman" w:hAnsi="Times New Roman" w:cs="Times New Roman"/>
                <w:sz w:val="22"/>
                <w:szCs w:val="22"/>
              </w:rPr>
            </w:pPr>
            <w:r>
              <w:rPr>
                <w:rFonts w:hint="default" w:ascii="Times New Roman" w:hAnsi="Times New Roman" w:cs="Times New Roman"/>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54" w:type="dxa"/>
            <w:gridSpan w:val="2"/>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w:t>
            </w:r>
          </w:p>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п/п</w:t>
            </w:r>
          </w:p>
        </w:tc>
        <w:tc>
          <w:tcPr>
            <w:tcW w:w="1717"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Статус</w:t>
            </w:r>
          </w:p>
        </w:tc>
        <w:tc>
          <w:tcPr>
            <w:tcW w:w="1969"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Наименование муниципальной программы, подпрограммы, основного мероприятия</w:t>
            </w:r>
          </w:p>
        </w:tc>
        <w:tc>
          <w:tcPr>
            <w:tcW w:w="3118"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Источник финансирования</w:t>
            </w:r>
          </w:p>
        </w:tc>
        <w:tc>
          <w:tcPr>
            <w:tcW w:w="7868" w:type="dxa"/>
            <w:gridSpan w:val="8"/>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Оценка расходов, тыс. рублей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vMerge w:val="continue"/>
            <w:vAlign w:val="center"/>
          </w:tcPr>
          <w:p>
            <w:pPr>
              <w:rPr>
                <w:rFonts w:hint="default" w:ascii="Times New Roman" w:hAnsi="Times New Roman" w:cs="Times New Roman"/>
                <w:sz w:val="22"/>
                <w:szCs w:val="22"/>
              </w:rPr>
            </w:pPr>
          </w:p>
        </w:tc>
        <w:tc>
          <w:tcPr>
            <w:tcW w:w="124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2020 г.</w:t>
            </w:r>
          </w:p>
        </w:tc>
        <w:tc>
          <w:tcPr>
            <w:tcW w:w="1276" w:type="dxa"/>
            <w:gridSpan w:val="2"/>
          </w:tcPr>
          <w:p>
            <w:pPr>
              <w:jc w:val="center"/>
              <w:rPr>
                <w:rFonts w:hint="default" w:ascii="Times New Roman" w:hAnsi="Times New Roman" w:cs="Times New Roman"/>
                <w:sz w:val="22"/>
                <w:szCs w:val="22"/>
              </w:rPr>
            </w:pPr>
            <w:r>
              <w:rPr>
                <w:rFonts w:hint="default" w:ascii="Times New Roman" w:hAnsi="Times New Roman" w:cs="Times New Roman"/>
                <w:sz w:val="22"/>
                <w:szCs w:val="22"/>
              </w:rPr>
              <w:t>2021 г.</w:t>
            </w:r>
          </w:p>
        </w:tc>
        <w:tc>
          <w:tcPr>
            <w:tcW w:w="137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2022 г.</w:t>
            </w:r>
          </w:p>
        </w:tc>
        <w:tc>
          <w:tcPr>
            <w:tcW w:w="1414"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2023 г.</w:t>
            </w:r>
          </w:p>
        </w:tc>
        <w:tc>
          <w:tcPr>
            <w:tcW w:w="1309"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2024 г.</w:t>
            </w:r>
          </w:p>
        </w:tc>
        <w:tc>
          <w:tcPr>
            <w:tcW w:w="124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blHeader/>
        </w:trPr>
        <w:tc>
          <w:tcPr>
            <w:tcW w:w="454" w:type="dxa"/>
            <w:gridSpan w:val="2"/>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tcPr>
          <w:p>
            <w:pPr>
              <w:spacing w:line="220"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1969"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3118"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1248"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1276" w:type="dxa"/>
            <w:gridSpan w:val="2"/>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137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1414"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8</w:t>
            </w:r>
          </w:p>
        </w:tc>
        <w:tc>
          <w:tcPr>
            <w:tcW w:w="1309"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9</w:t>
            </w:r>
          </w:p>
        </w:tc>
        <w:tc>
          <w:tcPr>
            <w:tcW w:w="124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Height w:val="621" w:hRule="atLeast"/>
        </w:trPr>
        <w:tc>
          <w:tcPr>
            <w:tcW w:w="454" w:type="dxa"/>
            <w:gridSpan w:val="2"/>
            <w:vMerge w:val="restart"/>
          </w:tcPr>
          <w:p>
            <w:pPr>
              <w:spacing w:line="252" w:lineRule="auto"/>
              <w:jc w:val="center"/>
              <w:rPr>
                <w:rFonts w:hint="default" w:ascii="Times New Roman" w:hAnsi="Times New Roman" w:cs="Times New Roman"/>
                <w:sz w:val="22"/>
                <w:szCs w:val="22"/>
              </w:rPr>
            </w:pPr>
          </w:p>
        </w:tc>
        <w:tc>
          <w:tcPr>
            <w:tcW w:w="1717" w:type="dxa"/>
          </w:tcPr>
          <w:p>
            <w:pPr>
              <w:spacing w:line="252"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Муниципальная программа</w:t>
            </w:r>
          </w:p>
        </w:tc>
        <w:tc>
          <w:tcPr>
            <w:tcW w:w="1969"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52" w:lineRule="auto"/>
              <w:jc w:val="cente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b/>
                <w:bCs/>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221789,0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c>
          <w:tcPr>
            <w:tcW w:w="124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restart"/>
            <w:vAlign w:val="center"/>
          </w:tcPr>
          <w:p>
            <w:pPr>
              <w:rPr>
                <w:rFonts w:hint="default" w:ascii="Times New Roman" w:hAnsi="Times New Roman" w:cs="Times New Roman"/>
                <w:sz w:val="22"/>
                <w:szCs w:val="22"/>
              </w:rPr>
            </w:pPr>
          </w:p>
        </w:tc>
        <w:tc>
          <w:tcPr>
            <w:tcW w:w="1969" w:type="dxa"/>
            <w:vMerge w:val="restart"/>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Height w:val="580" w:hRule="atLeast"/>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24680,8</w:t>
            </w:r>
          </w:p>
        </w:tc>
        <w:tc>
          <w:tcPr>
            <w:tcW w:w="1276" w:type="dxa"/>
            <w:gridSpan w:val="2"/>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2206,2</w:t>
            </w:r>
          </w:p>
        </w:tc>
        <w:tc>
          <w:tcPr>
            <w:tcW w:w="137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2765,9</w:t>
            </w:r>
          </w:p>
        </w:tc>
        <w:tc>
          <w:tcPr>
            <w:tcW w:w="1414"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2699,3</w:t>
            </w:r>
          </w:p>
        </w:tc>
        <w:tc>
          <w:tcPr>
            <w:tcW w:w="1309"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1170,0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vMerge w:val="restart"/>
          </w:tcPr>
          <w:p>
            <w:pPr>
              <w:spacing w:line="228"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Подпрограмма 1</w:t>
            </w:r>
          </w:p>
        </w:tc>
        <w:tc>
          <w:tcPr>
            <w:tcW w:w="1969" w:type="dxa"/>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Создание условий для обеспечения доступным и комфортным жильем сельского населения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221789,0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2206,2</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2765,9</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2699,3</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1170,0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1717"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Основное мероприятие </w:t>
            </w:r>
          </w:p>
        </w:tc>
        <w:tc>
          <w:tcPr>
            <w:tcW w:w="1969"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221789,0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2206,2</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2765,9</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2699,3</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1170,0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717" w:type="dxa"/>
            <w:vMerge w:val="restart"/>
            <w:tcBorders>
              <w:top w:val="single" w:color="auto" w:sz="4" w:space="0"/>
              <w:left w:val="single" w:color="auto" w:sz="4" w:space="0"/>
              <w:bottom w:val="single" w:color="auto" w:sz="4" w:space="0"/>
              <w:right w:val="single" w:color="auto" w:sz="4" w:space="0"/>
            </w:tcBorders>
          </w:tcPr>
          <w:p>
            <w:pPr>
              <w:spacing w:line="228" w:lineRule="auto"/>
              <w:ind w:left="-100" w:right="-96"/>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p>
        </w:tc>
        <w:tc>
          <w:tcPr>
            <w:tcW w:w="1717" w:type="dxa"/>
            <w:vMerge w:val="restart"/>
          </w:tcPr>
          <w:p>
            <w:pPr>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right w:val="single" w:color="auto" w:sz="4" w:space="0"/>
            </w:tcBorders>
          </w:tcPr>
          <w:p>
            <w:pPr>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34" w:type="dxa"/>
          <w:jc w:val="right"/>
        </w:trPr>
        <w:tc>
          <w:tcPr>
            <w:tcW w:w="9405" w:type="dxa"/>
            <w:gridSpan w:val="6"/>
          </w:tcPr>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tc>
        <w:tc>
          <w:tcPr>
            <w:tcW w:w="5953" w:type="dxa"/>
            <w:gridSpan w:val="7"/>
          </w:tcPr>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r>
              <w:rPr>
                <w:rFonts w:hint="default" w:ascii="Times New Roman" w:hAnsi="Times New Roman" w:cs="Times New Roman"/>
                <w:sz w:val="22"/>
                <w:szCs w:val="22"/>
              </w:rPr>
              <w:t>Приложение № 3</w:t>
            </w:r>
          </w:p>
          <w:p>
            <w:pPr>
              <w:jc w:val="center"/>
              <w:rPr>
                <w:rFonts w:hint="default" w:ascii="Times New Roman" w:hAnsi="Times New Roman" w:cs="Times New Roman"/>
                <w:sz w:val="22"/>
                <w:szCs w:val="22"/>
              </w:rPr>
            </w:pPr>
            <w:r>
              <w:rPr>
                <w:rFonts w:hint="default" w:ascii="Times New Roman" w:hAnsi="Times New Roman" w:cs="Times New Roman"/>
                <w:sz w:val="22"/>
                <w:szCs w:val="22"/>
              </w:rP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rPr>
                <w:rFonts w:hint="default" w:ascii="Times New Roman" w:hAnsi="Times New Roman" w:cs="Times New Roman"/>
                <w:sz w:val="22"/>
                <w:szCs w:val="22"/>
              </w:rPr>
            </w:pP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p>
      <w:pPr>
        <w:spacing w:line="220" w:lineRule="auto"/>
        <w:jc w:val="center"/>
        <w:rPr>
          <w:b/>
          <w:bCs/>
        </w:rPr>
      </w:pPr>
    </w:p>
    <w:p>
      <w:pPr>
        <w:spacing w:line="220" w:lineRule="auto"/>
        <w:jc w:val="center"/>
        <w:rPr>
          <w:b/>
          <w:bCs/>
          <w:sz w:val="6"/>
          <w:szCs w:val="6"/>
        </w:rPr>
      </w:pPr>
    </w:p>
    <w:tbl>
      <w:tblPr>
        <w:tblStyle w:val="30"/>
        <w:tblW w:w="1575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715"/>
        <w:gridCol w:w="2108"/>
        <w:gridCol w:w="1990"/>
        <w:gridCol w:w="597"/>
        <w:gridCol w:w="537"/>
        <w:gridCol w:w="438"/>
        <w:gridCol w:w="1305"/>
        <w:gridCol w:w="540"/>
        <w:gridCol w:w="1140"/>
        <w:gridCol w:w="1065"/>
        <w:gridCol w:w="1110"/>
        <w:gridCol w:w="1215"/>
        <w:gridCol w:w="825"/>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8" w:type="dxa"/>
            <w:gridSpan w:val="3"/>
          </w:tcPr>
          <w:p>
            <w:pPr>
              <w:spacing w:line="220" w:lineRule="auto"/>
              <w:jc w:val="center"/>
              <w:rPr>
                <w:sz w:val="22"/>
                <w:szCs w:val="22"/>
              </w:rPr>
            </w:pPr>
            <w:r>
              <w:rPr>
                <w:sz w:val="22"/>
                <w:szCs w:val="22"/>
              </w:rPr>
              <w:t xml:space="preserve">Ответственный исполнитель </w:t>
            </w:r>
            <w:r>
              <w:rPr>
                <w:sz w:val="22"/>
                <w:szCs w:val="22"/>
              </w:rPr>
              <w:br w:type="textWrapping"/>
            </w:r>
            <w:r>
              <w:rPr>
                <w:sz w:val="22"/>
                <w:szCs w:val="22"/>
              </w:rPr>
              <w:t>муниципальной программы</w:t>
            </w:r>
          </w:p>
        </w:tc>
        <w:tc>
          <w:tcPr>
            <w:tcW w:w="11505" w:type="dxa"/>
            <w:gridSpan w:val="12"/>
          </w:tcPr>
          <w:p>
            <w:pPr>
              <w:spacing w:line="220" w:lineRule="auto"/>
              <w:jc w:val="center"/>
              <w:rPr>
                <w:sz w:val="22"/>
                <w:szCs w:val="22"/>
              </w:rPr>
            </w:pPr>
            <w:r>
              <w:rPr>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r>
              <w:rPr>
                <w:sz w:val="22"/>
                <w:szCs w:val="22"/>
              </w:rPr>
              <w:t xml:space="preserve">№ </w:t>
            </w:r>
            <w:r>
              <w:rPr>
                <w:sz w:val="22"/>
                <w:szCs w:val="22"/>
              </w:rPr>
              <w:br w:type="textWrapping"/>
            </w:r>
            <w:r>
              <w:rPr>
                <w:sz w:val="22"/>
                <w:szCs w:val="22"/>
              </w:rPr>
              <w:t>п/п</w:t>
            </w:r>
          </w:p>
        </w:tc>
        <w:tc>
          <w:tcPr>
            <w:tcW w:w="1715" w:type="dxa"/>
            <w:vMerge w:val="restart"/>
          </w:tcPr>
          <w:p>
            <w:pPr>
              <w:spacing w:line="220" w:lineRule="auto"/>
              <w:ind w:left="16" w:hanging="16"/>
              <w:jc w:val="center"/>
              <w:rPr>
                <w:sz w:val="22"/>
                <w:szCs w:val="22"/>
              </w:rPr>
            </w:pPr>
            <w:r>
              <w:rPr>
                <w:sz w:val="22"/>
                <w:szCs w:val="22"/>
              </w:rPr>
              <w:t>Статус</w:t>
            </w:r>
          </w:p>
        </w:tc>
        <w:tc>
          <w:tcPr>
            <w:tcW w:w="2108" w:type="dxa"/>
            <w:vMerge w:val="restart"/>
          </w:tcPr>
          <w:p>
            <w:pPr>
              <w:spacing w:line="220" w:lineRule="auto"/>
              <w:ind w:firstLine="34"/>
              <w:jc w:val="center"/>
              <w:rPr>
                <w:sz w:val="22"/>
                <w:szCs w:val="22"/>
              </w:rPr>
            </w:pPr>
            <w:r>
              <w:rPr>
                <w:sz w:val="22"/>
                <w:szCs w:val="22"/>
              </w:rPr>
              <w:t xml:space="preserve">Наименование муниципальной программы, подпрограммы, </w:t>
            </w:r>
            <w:r>
              <w:rPr>
                <w:sz w:val="22"/>
                <w:szCs w:val="22"/>
              </w:rPr>
              <w:br w:type="textWrapping"/>
            </w:r>
            <w:r>
              <w:rPr>
                <w:sz w:val="22"/>
                <w:szCs w:val="22"/>
              </w:rPr>
              <w:t xml:space="preserve">основного мероприятия </w:t>
            </w:r>
          </w:p>
        </w:tc>
        <w:tc>
          <w:tcPr>
            <w:tcW w:w="1990" w:type="dxa"/>
            <w:vMerge w:val="restart"/>
          </w:tcPr>
          <w:p>
            <w:pPr>
              <w:spacing w:line="220" w:lineRule="auto"/>
              <w:jc w:val="center"/>
              <w:rPr>
                <w:sz w:val="22"/>
                <w:szCs w:val="22"/>
              </w:rPr>
            </w:pPr>
            <w:r>
              <w:rPr>
                <w:sz w:val="22"/>
                <w:szCs w:val="22"/>
              </w:rPr>
              <w:t>Ответственный исполнитель, соисполнитель</w:t>
            </w:r>
          </w:p>
        </w:tc>
        <w:tc>
          <w:tcPr>
            <w:tcW w:w="3417" w:type="dxa"/>
            <w:gridSpan w:val="5"/>
          </w:tcPr>
          <w:p>
            <w:pPr>
              <w:spacing w:line="220" w:lineRule="auto"/>
              <w:jc w:val="center"/>
              <w:rPr>
                <w:sz w:val="22"/>
                <w:szCs w:val="22"/>
              </w:rPr>
            </w:pPr>
            <w:r>
              <w:rPr>
                <w:sz w:val="22"/>
                <w:szCs w:val="22"/>
              </w:rPr>
              <w:t>Код бюджетной классификации &lt;1&gt;</w:t>
            </w:r>
          </w:p>
        </w:tc>
        <w:tc>
          <w:tcPr>
            <w:tcW w:w="6098" w:type="dxa"/>
            <w:gridSpan w:val="6"/>
          </w:tcPr>
          <w:p>
            <w:pPr>
              <w:spacing w:line="220" w:lineRule="auto"/>
              <w:jc w:val="center"/>
              <w:rPr>
                <w:sz w:val="22"/>
                <w:szCs w:val="22"/>
              </w:rPr>
            </w:pPr>
            <w:r>
              <w:rPr>
                <w:sz w:val="22"/>
                <w:szCs w:val="22"/>
              </w:rPr>
              <w:t>Расходы бюджета Кривошеевского сельс</w:t>
            </w:r>
            <w:r>
              <w:rPr>
                <w:sz w:val="22"/>
                <w:szCs w:val="22"/>
                <w:lang w:val="ru-RU"/>
              </w:rPr>
              <w:t>о</w:t>
            </w:r>
            <w:r>
              <w:rPr>
                <w:sz w:val="22"/>
                <w:szCs w:val="22"/>
              </w:rPr>
              <w:t>вета, тыс. руб.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vMerge w:val="continue"/>
            <w:vAlign w:val="center"/>
          </w:tcPr>
          <w:p>
            <w:pPr>
              <w:rPr>
                <w:sz w:val="22"/>
                <w:szCs w:val="22"/>
              </w:rPr>
            </w:pPr>
          </w:p>
        </w:tc>
        <w:tc>
          <w:tcPr>
            <w:tcW w:w="597" w:type="dxa"/>
          </w:tcPr>
          <w:p>
            <w:pPr>
              <w:spacing w:line="220" w:lineRule="auto"/>
              <w:jc w:val="center"/>
              <w:rPr>
                <w:sz w:val="21"/>
                <w:szCs w:val="21"/>
              </w:rPr>
            </w:pPr>
            <w:r>
              <w:rPr>
                <w:sz w:val="21"/>
                <w:szCs w:val="21"/>
              </w:rPr>
              <w:t>ГРБС</w:t>
            </w:r>
          </w:p>
        </w:tc>
        <w:tc>
          <w:tcPr>
            <w:tcW w:w="537" w:type="dxa"/>
          </w:tcPr>
          <w:p>
            <w:pPr>
              <w:spacing w:line="220" w:lineRule="auto"/>
              <w:jc w:val="center"/>
              <w:rPr>
                <w:sz w:val="21"/>
                <w:szCs w:val="21"/>
              </w:rPr>
            </w:pPr>
            <w:r>
              <w:rPr>
                <w:sz w:val="21"/>
                <w:szCs w:val="21"/>
              </w:rPr>
              <w:t>Рз</w:t>
            </w:r>
          </w:p>
        </w:tc>
        <w:tc>
          <w:tcPr>
            <w:tcW w:w="438" w:type="dxa"/>
          </w:tcPr>
          <w:p>
            <w:pPr>
              <w:spacing w:line="220" w:lineRule="auto"/>
              <w:jc w:val="center"/>
              <w:rPr>
                <w:sz w:val="21"/>
                <w:szCs w:val="21"/>
              </w:rPr>
            </w:pPr>
            <w:r>
              <w:rPr>
                <w:sz w:val="21"/>
                <w:szCs w:val="21"/>
              </w:rPr>
              <w:t>Пр</w:t>
            </w:r>
          </w:p>
        </w:tc>
        <w:tc>
          <w:tcPr>
            <w:tcW w:w="1305" w:type="dxa"/>
          </w:tcPr>
          <w:p>
            <w:pPr>
              <w:spacing w:line="220" w:lineRule="auto"/>
              <w:jc w:val="center"/>
              <w:rPr>
                <w:sz w:val="21"/>
                <w:szCs w:val="21"/>
              </w:rPr>
            </w:pPr>
            <w:r>
              <w:rPr>
                <w:sz w:val="21"/>
                <w:szCs w:val="21"/>
              </w:rPr>
              <w:t>ЦС</w:t>
            </w:r>
          </w:p>
        </w:tc>
        <w:tc>
          <w:tcPr>
            <w:tcW w:w="540" w:type="dxa"/>
          </w:tcPr>
          <w:p>
            <w:pPr>
              <w:spacing w:line="220" w:lineRule="auto"/>
              <w:jc w:val="center"/>
              <w:rPr>
                <w:sz w:val="21"/>
                <w:szCs w:val="21"/>
              </w:rPr>
            </w:pPr>
            <w:r>
              <w:rPr>
                <w:sz w:val="21"/>
                <w:szCs w:val="21"/>
              </w:rPr>
              <w:t>ВР</w:t>
            </w:r>
          </w:p>
        </w:tc>
        <w:tc>
          <w:tcPr>
            <w:tcW w:w="1140" w:type="dxa"/>
          </w:tcPr>
          <w:p>
            <w:pPr>
              <w:spacing w:line="220" w:lineRule="auto"/>
              <w:jc w:val="center"/>
              <w:rPr>
                <w:sz w:val="21"/>
                <w:szCs w:val="21"/>
              </w:rPr>
            </w:pPr>
            <w:r>
              <w:rPr>
                <w:sz w:val="21"/>
                <w:szCs w:val="21"/>
              </w:rPr>
              <w:t>2020 г.</w:t>
            </w:r>
          </w:p>
        </w:tc>
        <w:tc>
          <w:tcPr>
            <w:tcW w:w="1065" w:type="dxa"/>
          </w:tcPr>
          <w:p>
            <w:pPr>
              <w:spacing w:line="220" w:lineRule="auto"/>
              <w:jc w:val="center"/>
              <w:rPr>
                <w:sz w:val="21"/>
                <w:szCs w:val="21"/>
              </w:rPr>
            </w:pPr>
            <w:r>
              <w:rPr>
                <w:sz w:val="21"/>
                <w:szCs w:val="21"/>
              </w:rPr>
              <w:t>2021 г.</w:t>
            </w:r>
          </w:p>
        </w:tc>
        <w:tc>
          <w:tcPr>
            <w:tcW w:w="1110" w:type="dxa"/>
          </w:tcPr>
          <w:p>
            <w:pPr>
              <w:spacing w:line="220" w:lineRule="auto"/>
              <w:jc w:val="center"/>
              <w:rPr>
                <w:sz w:val="21"/>
                <w:szCs w:val="21"/>
              </w:rPr>
            </w:pPr>
            <w:r>
              <w:rPr>
                <w:sz w:val="21"/>
                <w:szCs w:val="21"/>
              </w:rPr>
              <w:t>2022 г.</w:t>
            </w:r>
          </w:p>
        </w:tc>
        <w:tc>
          <w:tcPr>
            <w:tcW w:w="1215" w:type="dxa"/>
          </w:tcPr>
          <w:p>
            <w:pPr>
              <w:spacing w:line="220" w:lineRule="auto"/>
              <w:jc w:val="center"/>
              <w:rPr>
                <w:sz w:val="21"/>
                <w:szCs w:val="21"/>
              </w:rPr>
            </w:pPr>
            <w:r>
              <w:rPr>
                <w:sz w:val="21"/>
                <w:szCs w:val="21"/>
              </w:rPr>
              <w:t>2023 г.</w:t>
            </w:r>
          </w:p>
        </w:tc>
        <w:tc>
          <w:tcPr>
            <w:tcW w:w="825" w:type="dxa"/>
          </w:tcPr>
          <w:p>
            <w:pPr>
              <w:jc w:val="center"/>
              <w:rPr>
                <w:sz w:val="21"/>
                <w:szCs w:val="21"/>
              </w:rPr>
            </w:pPr>
            <w:r>
              <w:rPr>
                <w:sz w:val="21"/>
                <w:szCs w:val="21"/>
              </w:rPr>
              <w:t>2024 г.</w:t>
            </w:r>
          </w:p>
        </w:tc>
        <w:tc>
          <w:tcPr>
            <w:tcW w:w="743" w:type="dxa"/>
          </w:tcPr>
          <w:p>
            <w:pPr>
              <w:jc w:val="center"/>
              <w:rPr>
                <w:sz w:val="21"/>
                <w:szCs w:val="21"/>
              </w:rPr>
            </w:pPr>
            <w:r>
              <w:rPr>
                <w:sz w:val="21"/>
                <w:szCs w:val="21"/>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25" w:type="dxa"/>
          </w:tcPr>
          <w:p>
            <w:pPr>
              <w:spacing w:line="220" w:lineRule="auto"/>
              <w:jc w:val="center"/>
              <w:rPr>
                <w:sz w:val="22"/>
                <w:szCs w:val="22"/>
              </w:rPr>
            </w:pPr>
            <w:r>
              <w:rPr>
                <w:sz w:val="22"/>
                <w:szCs w:val="22"/>
              </w:rPr>
              <w:t>1</w:t>
            </w:r>
          </w:p>
        </w:tc>
        <w:tc>
          <w:tcPr>
            <w:tcW w:w="1715" w:type="dxa"/>
          </w:tcPr>
          <w:p>
            <w:pPr>
              <w:spacing w:line="220" w:lineRule="auto"/>
              <w:jc w:val="center"/>
              <w:rPr>
                <w:sz w:val="22"/>
                <w:szCs w:val="22"/>
              </w:rPr>
            </w:pPr>
            <w:r>
              <w:rPr>
                <w:sz w:val="22"/>
                <w:szCs w:val="22"/>
              </w:rPr>
              <w:t>2</w:t>
            </w:r>
          </w:p>
        </w:tc>
        <w:tc>
          <w:tcPr>
            <w:tcW w:w="2108" w:type="dxa"/>
          </w:tcPr>
          <w:p>
            <w:pPr>
              <w:spacing w:line="220" w:lineRule="auto"/>
              <w:jc w:val="center"/>
              <w:rPr>
                <w:sz w:val="22"/>
                <w:szCs w:val="22"/>
              </w:rPr>
            </w:pPr>
            <w:r>
              <w:rPr>
                <w:sz w:val="22"/>
                <w:szCs w:val="22"/>
              </w:rPr>
              <w:t>3</w:t>
            </w:r>
          </w:p>
        </w:tc>
        <w:tc>
          <w:tcPr>
            <w:tcW w:w="1990" w:type="dxa"/>
          </w:tcPr>
          <w:p>
            <w:pPr>
              <w:spacing w:line="220" w:lineRule="auto"/>
              <w:jc w:val="center"/>
              <w:rPr>
                <w:sz w:val="22"/>
                <w:szCs w:val="22"/>
              </w:rPr>
            </w:pPr>
            <w:r>
              <w:rPr>
                <w:sz w:val="22"/>
                <w:szCs w:val="22"/>
              </w:rPr>
              <w:t>4</w:t>
            </w:r>
          </w:p>
        </w:tc>
        <w:tc>
          <w:tcPr>
            <w:tcW w:w="597" w:type="dxa"/>
          </w:tcPr>
          <w:p>
            <w:pPr>
              <w:spacing w:line="220" w:lineRule="auto"/>
              <w:jc w:val="center"/>
              <w:rPr>
                <w:sz w:val="22"/>
                <w:szCs w:val="22"/>
              </w:rPr>
            </w:pPr>
            <w:r>
              <w:rPr>
                <w:sz w:val="22"/>
                <w:szCs w:val="22"/>
              </w:rPr>
              <w:t>5</w:t>
            </w:r>
          </w:p>
        </w:tc>
        <w:tc>
          <w:tcPr>
            <w:tcW w:w="537" w:type="dxa"/>
          </w:tcPr>
          <w:p>
            <w:pPr>
              <w:spacing w:line="220" w:lineRule="auto"/>
              <w:jc w:val="center"/>
              <w:rPr>
                <w:sz w:val="22"/>
                <w:szCs w:val="22"/>
              </w:rPr>
            </w:pPr>
            <w:r>
              <w:rPr>
                <w:sz w:val="22"/>
                <w:szCs w:val="22"/>
              </w:rPr>
              <w:t>6</w:t>
            </w:r>
          </w:p>
        </w:tc>
        <w:tc>
          <w:tcPr>
            <w:tcW w:w="438" w:type="dxa"/>
          </w:tcPr>
          <w:p>
            <w:pPr>
              <w:spacing w:line="220" w:lineRule="auto"/>
              <w:jc w:val="center"/>
              <w:rPr>
                <w:sz w:val="22"/>
                <w:szCs w:val="22"/>
              </w:rPr>
            </w:pPr>
            <w:r>
              <w:rPr>
                <w:sz w:val="22"/>
                <w:szCs w:val="22"/>
              </w:rPr>
              <w:t>7</w:t>
            </w:r>
          </w:p>
        </w:tc>
        <w:tc>
          <w:tcPr>
            <w:tcW w:w="1305" w:type="dxa"/>
          </w:tcPr>
          <w:p>
            <w:pPr>
              <w:spacing w:line="220" w:lineRule="auto"/>
              <w:jc w:val="center"/>
              <w:rPr>
                <w:sz w:val="22"/>
                <w:szCs w:val="22"/>
              </w:rPr>
            </w:pPr>
            <w:r>
              <w:rPr>
                <w:sz w:val="22"/>
                <w:szCs w:val="22"/>
              </w:rPr>
              <w:t>8</w:t>
            </w:r>
          </w:p>
        </w:tc>
        <w:tc>
          <w:tcPr>
            <w:tcW w:w="540" w:type="dxa"/>
          </w:tcPr>
          <w:p>
            <w:pPr>
              <w:spacing w:line="220" w:lineRule="auto"/>
              <w:jc w:val="center"/>
              <w:rPr>
                <w:sz w:val="22"/>
                <w:szCs w:val="22"/>
              </w:rPr>
            </w:pPr>
            <w:r>
              <w:rPr>
                <w:sz w:val="22"/>
                <w:szCs w:val="22"/>
              </w:rPr>
              <w:t>9</w:t>
            </w:r>
          </w:p>
        </w:tc>
        <w:tc>
          <w:tcPr>
            <w:tcW w:w="1140" w:type="dxa"/>
          </w:tcPr>
          <w:p>
            <w:pPr>
              <w:spacing w:line="220" w:lineRule="auto"/>
              <w:ind w:left="-84" w:right="-80"/>
              <w:jc w:val="center"/>
              <w:rPr>
                <w:sz w:val="22"/>
                <w:szCs w:val="22"/>
              </w:rPr>
            </w:pPr>
            <w:r>
              <w:rPr>
                <w:sz w:val="22"/>
                <w:szCs w:val="22"/>
              </w:rPr>
              <w:t>10</w:t>
            </w:r>
          </w:p>
        </w:tc>
        <w:tc>
          <w:tcPr>
            <w:tcW w:w="1065" w:type="dxa"/>
          </w:tcPr>
          <w:p>
            <w:pPr>
              <w:spacing w:line="220" w:lineRule="auto"/>
              <w:ind w:left="-84" w:right="-80"/>
              <w:jc w:val="center"/>
              <w:rPr>
                <w:sz w:val="22"/>
                <w:szCs w:val="22"/>
              </w:rPr>
            </w:pPr>
            <w:r>
              <w:rPr>
                <w:sz w:val="22"/>
                <w:szCs w:val="22"/>
              </w:rPr>
              <w:t>11</w:t>
            </w:r>
          </w:p>
        </w:tc>
        <w:tc>
          <w:tcPr>
            <w:tcW w:w="1110" w:type="dxa"/>
          </w:tcPr>
          <w:p>
            <w:pPr>
              <w:spacing w:line="220" w:lineRule="auto"/>
              <w:ind w:left="-84" w:right="-80"/>
              <w:jc w:val="center"/>
              <w:rPr>
                <w:sz w:val="22"/>
                <w:szCs w:val="22"/>
              </w:rPr>
            </w:pPr>
            <w:r>
              <w:rPr>
                <w:sz w:val="22"/>
                <w:szCs w:val="22"/>
                <w:lang w:val="en-US"/>
              </w:rPr>
              <w:t>1</w:t>
            </w:r>
            <w:r>
              <w:rPr>
                <w:sz w:val="22"/>
                <w:szCs w:val="22"/>
              </w:rPr>
              <w:t>2</w:t>
            </w:r>
          </w:p>
        </w:tc>
        <w:tc>
          <w:tcPr>
            <w:tcW w:w="1215" w:type="dxa"/>
          </w:tcPr>
          <w:p>
            <w:pPr>
              <w:spacing w:line="220" w:lineRule="auto"/>
              <w:ind w:left="-84" w:right="-80"/>
              <w:jc w:val="center"/>
              <w:rPr>
                <w:sz w:val="22"/>
                <w:szCs w:val="22"/>
              </w:rPr>
            </w:pPr>
            <w:r>
              <w:rPr>
                <w:sz w:val="22"/>
                <w:szCs w:val="22"/>
              </w:rPr>
              <w:t>13</w:t>
            </w:r>
          </w:p>
        </w:tc>
        <w:tc>
          <w:tcPr>
            <w:tcW w:w="825" w:type="dxa"/>
          </w:tcPr>
          <w:p>
            <w:pPr>
              <w:spacing w:line="220" w:lineRule="auto"/>
              <w:ind w:left="-84" w:right="-80"/>
              <w:jc w:val="center"/>
              <w:rPr>
                <w:sz w:val="22"/>
                <w:szCs w:val="22"/>
              </w:rPr>
            </w:pPr>
            <w:r>
              <w:rPr>
                <w:sz w:val="22"/>
                <w:szCs w:val="22"/>
              </w:rPr>
              <w:t>14</w:t>
            </w:r>
          </w:p>
        </w:tc>
        <w:tc>
          <w:tcPr>
            <w:tcW w:w="743" w:type="dxa"/>
          </w:tcPr>
          <w:p>
            <w:pPr>
              <w:spacing w:line="220" w:lineRule="auto"/>
              <w:ind w:left="-84" w:right="-80"/>
              <w:jc w:val="center"/>
              <w:rPr>
                <w:sz w:val="22"/>
                <w:szCs w:val="22"/>
              </w:rPr>
            </w:pPr>
            <w:r>
              <w:rPr>
                <w:sz w:val="22"/>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муниципальная программа</w:t>
            </w:r>
          </w:p>
        </w:tc>
        <w:tc>
          <w:tcPr>
            <w:tcW w:w="2108" w:type="dxa"/>
            <w:vMerge w:val="restart"/>
          </w:tcPr>
          <w:p>
            <w:pPr>
              <w:jc w:val="center"/>
              <w:rPr>
                <w:sz w:val="22"/>
                <w:szCs w:val="22"/>
              </w:rPr>
            </w:pP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20" w:lineRule="auto"/>
              <w:jc w:val="center"/>
              <w:rPr>
                <w:sz w:val="22"/>
                <w:szCs w:val="22"/>
              </w:rPr>
            </w:pP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lang w:val="ru-RU"/>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Подпрограмма 1</w:t>
            </w:r>
          </w:p>
        </w:tc>
        <w:tc>
          <w:tcPr>
            <w:tcW w:w="2108" w:type="dxa"/>
            <w:vMerge w:val="restart"/>
          </w:tcPr>
          <w:p>
            <w:pPr>
              <w:jc w:val="center"/>
              <w:rPr>
                <w:sz w:val="22"/>
                <w:szCs w:val="22"/>
              </w:rPr>
            </w:pPr>
            <w:r>
              <w:rPr>
                <w:sz w:val="22"/>
                <w:szCs w:val="22"/>
              </w:rPr>
              <w:t>Создание условий для обеспечения доступным и комфортным жильем сельского населения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Основное мероприятие</w:t>
            </w:r>
          </w:p>
        </w:tc>
        <w:tc>
          <w:tcPr>
            <w:tcW w:w="2108" w:type="dxa"/>
            <w:vMerge w:val="restart"/>
          </w:tcPr>
          <w:p>
            <w:pPr>
              <w:jc w:val="center"/>
              <w:rPr>
                <w:sz w:val="22"/>
                <w:szCs w:val="22"/>
              </w:rPr>
            </w:pPr>
            <w:r>
              <w:rPr>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b/>
                <w:bCs/>
                <w:sz w:val="21"/>
                <w:szCs w:val="21"/>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221789,0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bl>
    <w:p>
      <w:pPr>
        <w:ind w:firstLine="709"/>
        <w:jc w:val="both"/>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tabs>
          <w:tab w:val="center" w:pos="7815"/>
          <w:tab w:val="left" w:pos="11730"/>
        </w:tabs>
        <w:jc w:val="right"/>
        <w:rPr>
          <w:sz w:val="22"/>
          <w:szCs w:val="22"/>
        </w:rPr>
      </w:pPr>
      <w:r>
        <w:tab/>
      </w:r>
      <w:r>
        <w:tab/>
      </w:r>
      <w:r>
        <w:tab/>
      </w:r>
      <w:r>
        <w:rPr>
          <w:sz w:val="22"/>
          <w:szCs w:val="22"/>
        </w:rPr>
        <w:t>Приложение№4</w:t>
      </w:r>
    </w:p>
    <w:p>
      <w:pPr>
        <w:jc w:val="right"/>
        <w:rPr>
          <w:sz w:val="22"/>
          <w:szCs w:val="22"/>
        </w:rPr>
      </w:pPr>
      <w:r>
        <w:rPr>
          <w:sz w:val="22"/>
          <w:szCs w:val="22"/>
        </w:rPr>
        <w:t>к муниципальной  программе «Развитие социальной, инженерной</w:t>
      </w:r>
    </w:p>
    <w:p>
      <w:pPr>
        <w:jc w:val="right"/>
        <w:rPr>
          <w:sz w:val="22"/>
          <w:szCs w:val="22"/>
        </w:rPr>
      </w:pPr>
      <w:r>
        <w:rPr>
          <w:sz w:val="22"/>
          <w:szCs w:val="22"/>
        </w:rPr>
        <w:t xml:space="preserve"> инфраструктуры и строительство жилья на территории</w:t>
      </w:r>
    </w:p>
    <w:p>
      <w:pPr>
        <w:jc w:val="right"/>
        <w:rPr>
          <w:sz w:val="22"/>
          <w:szCs w:val="22"/>
        </w:rPr>
      </w:pPr>
      <w:r>
        <w:rPr>
          <w:sz w:val="22"/>
          <w:szCs w:val="22"/>
        </w:rPr>
        <w:t xml:space="preserve">  Кривошеевского сельсовета </w:t>
      </w:r>
    </w:p>
    <w:p>
      <w:pPr>
        <w:jc w:val="right"/>
        <w:rPr>
          <w:sz w:val="22"/>
          <w:szCs w:val="22"/>
        </w:rPr>
      </w:pPr>
      <w:r>
        <w:rPr>
          <w:sz w:val="22"/>
          <w:szCs w:val="22"/>
        </w:rPr>
        <w:t>Нижнеломовского района на период 2020-2025 годы»</w:t>
      </w:r>
    </w:p>
    <w:p>
      <w:pPr>
        <w:jc w:val="right"/>
        <w:rPr>
          <w:sz w:val="22"/>
          <w:szCs w:val="22"/>
        </w:rPr>
      </w:pPr>
    </w:p>
    <w:p>
      <w:pPr>
        <w:pStyle w:val="116"/>
        <w:ind w:firstLine="540"/>
        <w:jc w:val="both"/>
      </w:pPr>
    </w:p>
    <w:p>
      <w:pPr>
        <w:jc w:val="center"/>
        <w:rPr>
          <w:b/>
        </w:rPr>
      </w:pPr>
      <w:bookmarkStart w:id="0" w:name="Par596"/>
      <w:bookmarkEnd w:id="0"/>
      <w:r>
        <w:rPr>
          <w:b/>
        </w:rPr>
        <w:t>МЕРОПРИЯТИЯ</w:t>
      </w:r>
    </w:p>
    <w:p>
      <w:pPr>
        <w:jc w:val="center"/>
        <w:rPr>
          <w:b/>
          <w:bCs/>
        </w:rPr>
      </w:pP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rPr>
          <w:sz w:val="28"/>
          <w:szCs w:val="28"/>
        </w:rPr>
      </w:pPr>
    </w:p>
    <w:tbl>
      <w:tblPr>
        <w:tblStyle w:val="30"/>
        <w:tblW w:w="18103" w:type="dxa"/>
        <w:tblInd w:w="75" w:type="dxa"/>
        <w:tblLayout w:type="fixed"/>
        <w:tblCellMar>
          <w:top w:w="0" w:type="dxa"/>
          <w:left w:w="75" w:type="dxa"/>
          <w:bottom w:w="0" w:type="dxa"/>
          <w:right w:w="75" w:type="dxa"/>
        </w:tblCellMar>
      </w:tblPr>
      <w:tblGrid>
        <w:gridCol w:w="702"/>
        <w:gridCol w:w="3409"/>
        <w:gridCol w:w="2410"/>
        <w:gridCol w:w="758"/>
        <w:gridCol w:w="178"/>
        <w:gridCol w:w="819"/>
        <w:gridCol w:w="371"/>
        <w:gridCol w:w="1276"/>
        <w:gridCol w:w="1370"/>
        <w:gridCol w:w="189"/>
        <w:gridCol w:w="1051"/>
        <w:gridCol w:w="1460"/>
        <w:gridCol w:w="1302"/>
        <w:gridCol w:w="936"/>
        <w:gridCol w:w="936"/>
        <w:gridCol w:w="936"/>
      </w:tblGrid>
      <w:tr>
        <w:tblPrEx>
          <w:tblLayout w:type="fixed"/>
          <w:tblCellMar>
            <w:top w:w="0" w:type="dxa"/>
            <w:left w:w="75" w:type="dxa"/>
            <w:bottom w:w="0" w:type="dxa"/>
            <w:right w:w="75" w:type="dxa"/>
          </w:tblCellMar>
        </w:tblPrEx>
        <w:trPr>
          <w:gridAfter w:val="3"/>
          <w:wAfter w:w="2808" w:type="dxa"/>
        </w:trPr>
        <w:tc>
          <w:tcPr>
            <w:tcW w:w="702"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p>
          <w:p>
            <w:pPr>
              <w:rPr>
                <w:rFonts w:hint="default" w:ascii="Times New Roman" w:hAnsi="Times New Roman" w:cs="Times New Roman"/>
                <w:sz w:val="22"/>
                <w:szCs w:val="22"/>
              </w:rPr>
            </w:pPr>
            <w:r>
              <w:rPr>
                <w:rFonts w:hint="default" w:ascii="Times New Roman" w:hAnsi="Times New Roman" w:cs="Times New Roman"/>
                <w:sz w:val="22"/>
                <w:szCs w:val="22"/>
              </w:rPr>
              <w:t xml:space="preserve">№ п/п </w:t>
            </w:r>
          </w:p>
        </w:tc>
        <w:tc>
          <w:tcPr>
            <w:tcW w:w="3409"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мероприятия   </w:t>
            </w:r>
          </w:p>
        </w:tc>
        <w:tc>
          <w:tcPr>
            <w:tcW w:w="2410"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Исполнители  </w:t>
            </w:r>
          </w:p>
        </w:tc>
        <w:tc>
          <w:tcPr>
            <w:tcW w:w="936" w:type="dxa"/>
            <w:gridSpan w:val="2"/>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испол-</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нения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(год) </w:t>
            </w:r>
          </w:p>
        </w:tc>
        <w:tc>
          <w:tcPr>
            <w:tcW w:w="6536" w:type="dxa"/>
            <w:gridSpan w:val="7"/>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Объем финансирования, тыс. рублей     </w:t>
            </w:r>
          </w:p>
        </w:tc>
        <w:tc>
          <w:tcPr>
            <w:tcW w:w="1302" w:type="dxa"/>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Показатели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результата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мероприятия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по  </w:t>
            </w:r>
            <w:r>
              <w:rPr>
                <w:rFonts w:hint="default" w:ascii="Times New Roman" w:hAnsi="Times New Roman" w:eastAsia="Courier New" w:cs="Times New Roman"/>
                <w:sz w:val="22"/>
                <w:szCs w:val="22"/>
              </w:rPr>
              <w:t xml:space="preserve">годам     </w:t>
            </w: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40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241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936"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всего</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Федеральный бюджет</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eastAsia="Courier New" w:cs="Times New Roman"/>
                <w:sz w:val="22"/>
                <w:szCs w:val="22"/>
              </w:rPr>
            </w:pPr>
            <w:r>
              <w:rPr>
                <w:rFonts w:hint="default" w:ascii="Times New Roman" w:hAnsi="Times New Roman" w:cs="Times New Roman"/>
                <w:sz w:val="22"/>
                <w:szCs w:val="22"/>
              </w:rPr>
              <w:t xml:space="preserve">Бюджет Пензенской области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Бюджет Кривошеевского сельсовета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внебюджетные  </w:t>
            </w:r>
          </w:p>
          <w:p>
            <w:pPr>
              <w:rPr>
                <w:rFonts w:hint="default" w:ascii="Times New Roman" w:hAnsi="Times New Roman" w:cs="Times New Roman"/>
                <w:sz w:val="22"/>
                <w:szCs w:val="22"/>
              </w:rPr>
            </w:pPr>
            <w:r>
              <w:rPr>
                <w:rFonts w:hint="default" w:ascii="Times New Roman" w:hAnsi="Times New Roman" w:cs="Times New Roman"/>
                <w:sz w:val="22"/>
                <w:szCs w:val="22"/>
              </w:rPr>
              <w:t>средства</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  </w:t>
            </w:r>
          </w:p>
        </w:tc>
        <w:tc>
          <w:tcPr>
            <w:tcW w:w="340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2        </w:t>
            </w:r>
          </w:p>
        </w:tc>
        <w:tc>
          <w:tcPr>
            <w:tcW w:w="241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3       </w:t>
            </w:r>
          </w:p>
        </w:tc>
        <w:tc>
          <w:tcPr>
            <w:tcW w:w="936"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4   </w:t>
            </w: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5  </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6     </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7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8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9    </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10      </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936" w:type="dxa"/>
          </w:tcPr>
          <w:p>
            <w:pPr>
              <w:rPr>
                <w:rFonts w:hint="default" w:ascii="Times New Roman" w:hAnsi="Times New Roman" w:cs="Times New Roman"/>
                <w:sz w:val="22"/>
                <w:szCs w:val="22"/>
              </w:rPr>
            </w:pPr>
          </w:p>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r>
              <w:rPr>
                <w:rFonts w:hint="default" w:ascii="Times New Roman" w:hAnsi="Times New Roman" w:cs="Times New Roman"/>
                <w:sz w:val="22"/>
                <w:szCs w:val="22"/>
              </w:rPr>
              <w:t>2018</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69"/>
              <w:widowControl/>
              <w:jc w:val="left"/>
              <w:rPr>
                <w:rFonts w:hint="default" w:ascii="Times New Roman" w:hAnsi="Times New Roman" w:cs="Times New Roman"/>
                <w:sz w:val="22"/>
                <w:szCs w:val="22"/>
              </w:rPr>
            </w:pPr>
            <w:r>
              <w:rPr>
                <w:rFonts w:hint="default" w:ascii="Times New Roman" w:hAnsi="Times New Roman" w:cs="Times New Roman"/>
                <w:sz w:val="22"/>
                <w:szCs w:val="22"/>
              </w:rPr>
              <w:t>Цели подпрограммы:</w:t>
            </w:r>
          </w:p>
          <w:p>
            <w:pPr>
              <w:pStyle w:val="78"/>
              <w:shd w:val="clear" w:color="auto" w:fill="auto"/>
              <w:tabs>
                <w:tab w:val="left" w:pos="1919"/>
                <w:tab w:val="center" w:pos="4372"/>
                <w:tab w:val="right" w:pos="6614"/>
              </w:tabs>
              <w:spacing w:before="0" w:line="322" w:lineRule="exact"/>
              <w:ind w:left="100" w:firstLine="0"/>
              <w:jc w:val="left"/>
              <w:rPr>
                <w:rFonts w:hint="default" w:ascii="Times New Roman" w:hAnsi="Times New Roman" w:cs="Times New Roman"/>
                <w:sz w:val="22"/>
                <w:szCs w:val="22"/>
              </w:rPr>
            </w:pPr>
            <w:r>
              <w:rPr>
                <w:rStyle w:val="79"/>
                <w:rFonts w:hint="default" w:ascii="Times New Roman" w:hAnsi="Times New Roman" w:eastAsia="SimSun" w:cs="Times New Roman"/>
                <w:sz w:val="22"/>
                <w:szCs w:val="22"/>
              </w:rPr>
              <w:t>Улучшение</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жилищных</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условий</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граждан,</w:t>
            </w:r>
          </w:p>
          <w:p>
            <w:pPr>
              <w:pStyle w:val="69"/>
              <w:widowControl/>
              <w:spacing w:line="200" w:lineRule="atLeast"/>
              <w:contextualSpacing/>
              <w:jc w:val="left"/>
              <w:rPr>
                <w:rStyle w:val="79"/>
                <w:rFonts w:hint="default" w:ascii="Times New Roman" w:hAnsi="Times New Roman" w:cs="Times New Roman"/>
                <w:sz w:val="22"/>
                <w:szCs w:val="22"/>
              </w:rPr>
            </w:pPr>
            <w:r>
              <w:rPr>
                <w:rStyle w:val="79"/>
                <w:rFonts w:hint="default" w:ascii="Times New Roman" w:hAnsi="Times New Roman" w:cs="Times New Roman"/>
                <w:sz w:val="22"/>
                <w:szCs w:val="22"/>
              </w:rPr>
              <w:t>проживающих на сельских территориях</w:t>
            </w:r>
          </w:p>
          <w:p>
            <w:pPr>
              <w:pStyle w:val="69"/>
              <w:widowControl/>
              <w:jc w:val="left"/>
              <w:rPr>
                <w:rFonts w:hint="default" w:ascii="Times New Roman" w:hAnsi="Times New Roman" w:cs="Times New Roman"/>
                <w:sz w:val="22"/>
                <w:szCs w:val="22"/>
              </w:rPr>
            </w:pPr>
            <w:r>
              <w:rPr>
                <w:rFonts w:hint="default" w:ascii="Times New Roman" w:hAnsi="Times New Roman" w:cs="Times New Roman"/>
                <w:sz w:val="22"/>
                <w:szCs w:val="22"/>
              </w:rPr>
              <w:t>обеспечение создания комфортных условий жизнедеятельности в сельской местности</w:t>
            </w: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24"/>
              <w:rPr>
                <w:rFonts w:hint="default" w:ascii="Times New Roman" w:hAnsi="Times New Roman" w:cs="Times New Roman"/>
                <w:sz w:val="22"/>
                <w:szCs w:val="22"/>
              </w:rPr>
            </w:pPr>
            <w:r>
              <w:rPr>
                <w:rFonts w:hint="default" w:ascii="Times New Roman" w:hAnsi="Times New Roman" w:cs="Times New Roman"/>
                <w:sz w:val="22"/>
                <w:szCs w:val="22"/>
              </w:rPr>
              <w:t>Задачи подпрограммы:</w:t>
            </w:r>
          </w:p>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409" w:type="dxa"/>
            <w:vMerge w:val="restart"/>
            <w:tcBorders>
              <w:top w:val="single" w:color="auto" w:sz="4" w:space="0"/>
              <w:left w:val="single" w:color="auto" w:sz="4" w:space="0"/>
              <w:right w:val="single" w:color="auto" w:sz="4"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Основное мероприятие</w:t>
            </w:r>
          </w:p>
          <w:p>
            <w:pPr>
              <w:snapToGrid w:val="0"/>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2410" w:type="dxa"/>
            <w:vMerge w:val="restart"/>
            <w:tcBorders>
              <w:top w:val="single" w:color="auto" w:sz="4" w:space="0"/>
              <w:left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Администрация Кривошеевского сельсовета Нижнеломовского района Пензенской области </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b/>
                <w:bCs/>
                <w:sz w:val="22"/>
                <w:szCs w:val="22"/>
              </w:rPr>
              <w:t>Итого</w:t>
            </w:r>
            <w:r>
              <w:rPr>
                <w:rFonts w:hint="default" w:ascii="Times New Roman" w:hAnsi="Times New Roman" w:cs="Times New Roman"/>
                <w:sz w:val="22"/>
                <w:szCs w:val="22"/>
              </w:rPr>
              <w:t xml:space="preserve">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bCs w:val="0"/>
                <w:sz w:val="22"/>
                <w:szCs w:val="22"/>
                <w:lang w:val="ru-RU"/>
              </w:rPr>
            </w:pPr>
            <w:r>
              <w:rPr>
                <w:rFonts w:hint="default" w:cs="Times New Roman"/>
                <w:b/>
                <w:bCs w:val="0"/>
                <w:sz w:val="22"/>
                <w:szCs w:val="22"/>
                <w:lang w:val="ru-RU"/>
              </w:rPr>
              <w:t>1155897,1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bCs w:val="0"/>
                <w:sz w:val="22"/>
                <w:szCs w:val="22"/>
                <w:lang w:val="ru-RU"/>
              </w:rPr>
            </w:pPr>
            <w:r>
              <w:rPr>
                <w:rFonts w:hint="default" w:cs="Times New Roman"/>
                <w:b/>
                <w:bCs w:val="0"/>
                <w:sz w:val="22"/>
                <w:szCs w:val="22"/>
                <w:lang w:val="ru-RU"/>
              </w:rPr>
              <w:t>1043297,3</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lang w:val="ru-RU"/>
              </w:rPr>
            </w:pPr>
            <w:r>
              <w:rPr>
                <w:rFonts w:hint="default" w:cs="Times New Roman"/>
                <w:b/>
                <w:bCs w:val="0"/>
                <w:sz w:val="22"/>
                <w:szCs w:val="22"/>
                <w:lang w:val="ru-RU"/>
              </w:rPr>
              <w:t>32352,2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rPr>
            </w:pPr>
            <w:r>
              <w:rPr>
                <w:rFonts w:hint="default" w:cs="Times New Roman"/>
                <w:b/>
                <w:bCs w:val="0"/>
                <w:sz w:val="22"/>
                <w:szCs w:val="22"/>
                <w:lang w:val="ru-RU"/>
              </w:rPr>
              <w:t>80247</w:t>
            </w:r>
            <w:r>
              <w:rPr>
                <w:rFonts w:hint="default" w:ascii="Times New Roman" w:hAnsi="Times New Roman" w:cs="Times New Roman"/>
                <w:b/>
                <w:bCs w:val="0"/>
                <w:sz w:val="22"/>
                <w:szCs w:val="22"/>
                <w:lang w:val="ru-RU"/>
              </w:rPr>
              <w:t>,6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80" w:hRule="atLeast"/>
        </w:trPr>
        <w:tc>
          <w:tcPr>
            <w:tcW w:w="702" w:type="dxa"/>
            <w:vMerge w:val="restart"/>
            <w:tcBorders>
              <w:top w:val="single" w:color="auto" w:sz="4" w:space="0"/>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221789,0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218412,8</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2206,2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lang w:val="ru-RU"/>
              </w:rPr>
            </w:pPr>
            <w:r>
              <w:rPr>
                <w:rFonts w:hint="default" w:cs="Times New Roman"/>
                <w:sz w:val="22"/>
                <w:szCs w:val="22"/>
                <w:lang w:val="ru-RU"/>
              </w:rPr>
              <w:t>1170,0</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276585,4</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273819,5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2765,9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269934,8</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267235,5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2699,3</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30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PrEx>
        <w:trPr>
          <w:gridAfter w:val="3"/>
          <w:wAfter w:w="2808" w:type="dxa"/>
          <w:trHeight w:val="13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26" w:hRule="atLeast"/>
        </w:trPr>
        <w:tc>
          <w:tcPr>
            <w:tcW w:w="6521" w:type="dxa"/>
            <w:gridSpan w:val="3"/>
            <w:vMerge w:val="restart"/>
            <w:tcBorders>
              <w:top w:val="single" w:color="000000" w:sz="8" w:space="0"/>
              <w:left w:val="single" w:color="000000" w:sz="0" w:space="0"/>
              <w:right w:val="single" w:color="auto" w:sz="4" w:space="0"/>
            </w:tcBorders>
            <w:shd w:val="clear" w:color="auto" w:fill="auto"/>
          </w:tcPr>
          <w:p>
            <w:pPr>
              <w:snapToGrid w:val="0"/>
              <w:jc w:val="right"/>
              <w:rPr>
                <w:rFonts w:hint="default" w:ascii="Times New Roman" w:hAnsi="Times New Roman" w:cs="Times New Roman"/>
                <w:sz w:val="22"/>
                <w:szCs w:val="22"/>
              </w:rPr>
            </w:pPr>
            <w:r>
              <w:rPr>
                <w:rFonts w:hint="default" w:ascii="Times New Roman" w:hAnsi="Times New Roman" w:cs="Times New Roman"/>
                <w:b/>
                <w:bCs/>
                <w:sz w:val="22"/>
                <w:szCs w:val="22"/>
              </w:rPr>
              <w:t>Итого по программе</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lang w:val="ru-RU"/>
              </w:rPr>
            </w:pPr>
            <w:r>
              <w:rPr>
                <w:rFonts w:hint="default" w:cs="Times New Roman"/>
                <w:b/>
                <w:bCs/>
                <w:sz w:val="22"/>
                <w:szCs w:val="22"/>
                <w:lang w:val="ru-RU"/>
              </w:rPr>
              <w:t>Итого</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1155897,1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1043297,3</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bCs w:val="0"/>
                <w:sz w:val="22"/>
                <w:szCs w:val="22"/>
                <w:lang w:val="ru-RU"/>
              </w:rPr>
              <w:t>32352,2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cs="Times New Roman"/>
                <w:b/>
                <w:bCs w:val="0"/>
                <w:sz w:val="22"/>
                <w:szCs w:val="22"/>
                <w:lang w:val="ru-RU"/>
              </w:rPr>
              <w:t>80247</w:t>
            </w:r>
            <w:r>
              <w:rPr>
                <w:rFonts w:hint="default" w:ascii="Times New Roman" w:hAnsi="Times New Roman" w:cs="Times New Roman"/>
                <w:b/>
                <w:bCs w:val="0"/>
                <w:sz w:val="22"/>
                <w:szCs w:val="22"/>
                <w:lang w:val="ru-RU"/>
              </w:rPr>
              <w:t>,6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46" w:hRule="atLeast"/>
        </w:trPr>
        <w:tc>
          <w:tcPr>
            <w:tcW w:w="6521" w:type="dxa"/>
            <w:gridSpan w:val="3"/>
            <w:vMerge w:val="continue"/>
            <w:tcBorders>
              <w:left w:val="single" w:color="000000" w:sz="0" w:space="0"/>
              <w:right w:val="single" w:color="auto" w:sz="4" w:space="0"/>
            </w:tcBorders>
            <w:shd w:val="clear" w:color="auto" w:fill="auto"/>
          </w:tcPr>
          <w:p>
            <w:pPr>
              <w:snapToGrid w:val="0"/>
              <w:jc w:val="right"/>
              <w:rPr>
                <w:rFonts w:hint="default" w:ascii="Times New Roman" w:hAnsi="Times New Roman" w:cs="Times New Roman"/>
                <w:b/>
                <w:bCs/>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221789,0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218412,8</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val="0"/>
                <w:bCs/>
                <w:sz w:val="22"/>
                <w:szCs w:val="22"/>
                <w:lang w:val="ru-RU"/>
              </w:rPr>
              <w:t>2206,2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cs="Times New Roman"/>
                <w:sz w:val="22"/>
                <w:szCs w:val="22"/>
                <w:lang w:val="ru-RU"/>
              </w:rPr>
              <w:t>1170,0</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276585,4</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273819,5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val="0"/>
                <w:bCs/>
                <w:sz w:val="22"/>
                <w:szCs w:val="22"/>
                <w:lang w:val="ru-RU"/>
              </w:rPr>
              <w:t>2765,9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sz w:val="22"/>
                <w:szCs w:val="22"/>
              </w:rPr>
            </w:pPr>
            <w:r>
              <w:rPr>
                <w:rFonts w:hint="default" w:cs="Times New Roman"/>
                <w:b w:val="0"/>
                <w:bCs/>
                <w:sz w:val="22"/>
                <w:szCs w:val="22"/>
                <w:lang w:val="ru-RU"/>
              </w:rPr>
              <w:t>269934,8</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sz w:val="22"/>
                <w:szCs w:val="22"/>
              </w:rPr>
            </w:pPr>
            <w:r>
              <w:rPr>
                <w:rFonts w:hint="default" w:cs="Times New Roman"/>
                <w:b w:val="0"/>
                <w:bCs/>
                <w:sz w:val="22"/>
                <w:szCs w:val="22"/>
                <w:lang w:val="ru-RU"/>
              </w:rPr>
              <w:t>267235,5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cs="Times New Roman"/>
                <w:b w:val="0"/>
                <w:bCs/>
                <w:sz w:val="22"/>
                <w:szCs w:val="22"/>
                <w:lang w:val="ru-RU"/>
              </w:rPr>
              <w:t>2699,3</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bottom w:val="single" w:color="000000" w:sz="8"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bl>
    <w:p>
      <w:pPr>
        <w:jc w:val="both"/>
        <w:rPr>
          <w:sz w:val="28"/>
          <w:szCs w:val="28"/>
        </w:rPr>
        <w:sectPr>
          <w:endnotePr>
            <w:numFmt w:val="decimal"/>
          </w:endnotePr>
          <w:pgSz w:w="16840" w:h="11907" w:orient="landscape"/>
          <w:pgMar w:top="353" w:right="1134" w:bottom="851" w:left="1134" w:header="720" w:footer="720" w:gutter="0"/>
          <w:pgNumType w:start="1"/>
          <w:cols w:space="720" w:num="1"/>
          <w:titlePg/>
          <w:docGrid w:linePitch="272" w:charSpace="0"/>
        </w:sectPr>
      </w:pPr>
    </w:p>
    <w:p>
      <w:pPr>
        <w:jc w:val="right"/>
      </w:pPr>
    </w:p>
    <w:p>
      <w:pPr>
        <w:jc w:val="right"/>
        <w:rPr>
          <w:sz w:val="22"/>
          <w:szCs w:val="22"/>
        </w:rPr>
      </w:pPr>
    </w:p>
    <w:p>
      <w:pPr>
        <w:jc w:val="right"/>
        <w:rPr>
          <w:sz w:val="22"/>
          <w:szCs w:val="22"/>
        </w:rPr>
      </w:pPr>
      <w:r>
        <w:rPr>
          <w:sz w:val="22"/>
          <w:szCs w:val="22"/>
        </w:rPr>
        <w:t>Приложение № 5</w:t>
      </w:r>
    </w:p>
    <w:p>
      <w:pPr>
        <w:jc w:val="right"/>
        <w:rPr>
          <w:sz w:val="22"/>
          <w:szCs w:val="22"/>
        </w:rPr>
      </w:pPr>
      <w:bookmarkStart w:id="1" w:name="Par819"/>
      <w:bookmarkEnd w:id="1"/>
      <w:r>
        <w:rPr>
          <w:sz w:val="22"/>
          <w:szCs w:val="22"/>
        </w:rPr>
        <w:t>к муниципальной  программе</w:t>
      </w:r>
    </w:p>
    <w:p>
      <w:pPr>
        <w:jc w:val="right"/>
        <w:rPr>
          <w:sz w:val="22"/>
          <w:szCs w:val="22"/>
        </w:rPr>
      </w:pPr>
      <w:r>
        <w:rPr>
          <w:sz w:val="22"/>
          <w:szCs w:val="22"/>
        </w:rPr>
        <w:t xml:space="preserve"> «Развитие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 </w:t>
      </w:r>
    </w:p>
    <w:p>
      <w:pPr>
        <w:jc w:val="right"/>
        <w:rPr>
          <w:sz w:val="22"/>
          <w:szCs w:val="22"/>
        </w:rPr>
      </w:pPr>
      <w:r>
        <w:rPr>
          <w:sz w:val="22"/>
          <w:szCs w:val="22"/>
        </w:rPr>
        <w:t xml:space="preserve"> 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center"/>
      </w:pPr>
    </w:p>
    <w:p>
      <w:pPr>
        <w:jc w:val="center"/>
        <w:rPr>
          <w:b/>
        </w:rPr>
      </w:pPr>
      <w:r>
        <w:rPr>
          <w:b/>
        </w:rPr>
        <w:t>ПЛАН</w:t>
      </w:r>
    </w:p>
    <w:p>
      <w:pPr>
        <w:jc w:val="center"/>
      </w:pPr>
      <w:r>
        <w:rPr>
          <w:b/>
          <w:sz w:val="22"/>
          <w:szCs w:val="22"/>
        </w:rPr>
        <w:t>реализации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w:t>
      </w:r>
      <w:r>
        <w:rPr>
          <w:b/>
        </w:rPr>
        <w:t xml:space="preserve"> жилья на территории  Кривошеевского сельсовета Нижнеломовского на период 2020-2025 годы»</w:t>
      </w:r>
      <w:r>
        <w:rPr>
          <w:b/>
          <w:bCs/>
        </w:rPr>
        <w:t xml:space="preserve"> </w:t>
      </w:r>
    </w:p>
    <w:tbl>
      <w:tblPr>
        <w:tblStyle w:val="30"/>
        <w:tblW w:w="15796" w:type="dxa"/>
        <w:tblInd w:w="-492" w:type="dxa"/>
        <w:tblLayout w:type="fixed"/>
        <w:tblCellMar>
          <w:top w:w="0" w:type="dxa"/>
          <w:left w:w="75" w:type="dxa"/>
          <w:bottom w:w="0" w:type="dxa"/>
          <w:right w:w="75" w:type="dxa"/>
        </w:tblCellMar>
      </w:tblPr>
      <w:tblGrid>
        <w:gridCol w:w="585"/>
        <w:gridCol w:w="4561"/>
        <w:gridCol w:w="1695"/>
        <w:gridCol w:w="1239"/>
        <w:gridCol w:w="1674"/>
        <w:gridCol w:w="1204"/>
        <w:gridCol w:w="1200"/>
        <w:gridCol w:w="755"/>
        <w:gridCol w:w="412"/>
        <w:gridCol w:w="524"/>
        <w:gridCol w:w="468"/>
        <w:gridCol w:w="459"/>
        <w:gridCol w:w="1020"/>
      </w:tblGrid>
      <w:tr>
        <w:tblPrEx>
          <w:tblLayout w:type="fixed"/>
          <w:tblCellMar>
            <w:top w:w="0" w:type="dxa"/>
            <w:left w:w="75" w:type="dxa"/>
            <w:bottom w:w="0" w:type="dxa"/>
            <w:right w:w="75" w:type="dxa"/>
          </w:tblCellMar>
        </w:tblPrEx>
        <w:tc>
          <w:tcPr>
            <w:tcW w:w="5146" w:type="dxa"/>
            <w:gridSpan w:val="2"/>
            <w:tcBorders>
              <w:top w:val="single" w:color="000000" w:sz="0"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650" w:type="dxa"/>
            <w:gridSpan w:val="11"/>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исполнитель муниципальной  программы                </w:t>
            </w:r>
          </w:p>
        </w:tc>
      </w:tr>
      <w:tr>
        <w:tblPrEx>
          <w:tblLayout w:type="fixed"/>
          <w:tblCellMar>
            <w:top w:w="0" w:type="dxa"/>
            <w:left w:w="75" w:type="dxa"/>
            <w:bottom w:w="0" w:type="dxa"/>
            <w:right w:w="75" w:type="dxa"/>
          </w:tblCellMar>
        </w:tblPrEx>
        <w:tc>
          <w:tcPr>
            <w:tcW w:w="5146"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650" w:type="dxa"/>
            <w:gridSpan w:val="11"/>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Администрация Кривошеевского сельсовета Нижнеломовского района Пензенской области</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N </w:t>
            </w:r>
            <w:r>
              <w:rPr>
                <w:rFonts w:hint="default" w:ascii="Times New Roman" w:hAnsi="Times New Roman" w:cs="Times New Roman"/>
                <w:sz w:val="22"/>
                <w:szCs w:val="22"/>
              </w:rPr>
              <w:t>п/п</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подпрограммы,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мероприятий  </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исполнитель  (ФИО,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должность)   </w:t>
            </w:r>
          </w:p>
        </w:tc>
        <w:tc>
          <w:tcPr>
            <w:tcW w:w="123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начала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67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окончания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20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Ожидаемый</w:t>
            </w:r>
          </w:p>
          <w:p>
            <w:pPr>
              <w:rPr>
                <w:rFonts w:hint="default" w:ascii="Times New Roman" w:hAnsi="Times New Roman" w:cs="Times New Roman"/>
                <w:sz w:val="22"/>
                <w:szCs w:val="22"/>
              </w:rPr>
            </w:pPr>
            <w:r>
              <w:rPr>
                <w:rFonts w:hint="default" w:ascii="Times New Roman" w:hAnsi="Times New Roman" w:cs="Times New Roman"/>
                <w:sz w:val="22"/>
                <w:szCs w:val="22"/>
              </w:rPr>
              <w:t>результат</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Источник</w:t>
            </w:r>
          </w:p>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рования </w:t>
            </w:r>
          </w:p>
        </w:tc>
        <w:tc>
          <w:tcPr>
            <w:tcW w:w="2618" w:type="dxa"/>
            <w:gridSpan w:val="5"/>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Код бюджетной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классификации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(бюджет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Пензенской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области)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рование,</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тыс.  руб.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рублей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snapToGrid w:val="0"/>
              <w:rPr>
                <w:rFonts w:hint="default" w:ascii="Times New Roman" w:hAnsi="Times New Roman" w:cs="Times New Roman"/>
                <w:sz w:val="22"/>
                <w:szCs w:val="22"/>
              </w:rPr>
            </w:pP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ГРБС</w:t>
            </w:r>
          </w:p>
        </w:tc>
        <w:tc>
          <w:tcPr>
            <w:tcW w:w="41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Рз</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Пр</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ЦС</w:t>
            </w:r>
          </w:p>
        </w:tc>
        <w:tc>
          <w:tcPr>
            <w:tcW w:w="45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ВР</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1  </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41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45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snapToGrid w:val="0"/>
              <w:rPr>
                <w:rFonts w:hint="default" w:ascii="Times New Roman" w:hAnsi="Times New Roman" w:cs="Times New Roman"/>
                <w:sz w:val="22"/>
                <w:szCs w:val="22"/>
              </w:rPr>
            </w:pP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01.01.2020</w:t>
            </w: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31.12.2020</w:t>
            </w: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 бюджет пензенской области, местный бюджет и внебюджетные источники</w:t>
            </w: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lang w:val="ru-RU"/>
              </w:rPr>
            </w:pPr>
            <w:r>
              <w:rPr>
                <w:rFonts w:hint="default" w:ascii="Times New Roman" w:hAnsi="Times New Roman" w:cs="Times New Roman"/>
                <w:sz w:val="22"/>
                <w:szCs w:val="22"/>
                <w:lang w:val="ru-RU"/>
              </w:rPr>
              <w:t>387587,9</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1.2..</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r>
              <w:rPr>
                <w:rFonts w:hint="default" w:ascii="Times New Roman" w:hAnsi="Times New Roman" w:cs="Times New Roman"/>
                <w:sz w:val="22"/>
                <w:szCs w:val="22"/>
              </w:rPr>
              <w:t xml:space="preserve">повышение уровня комплексного обустройства населенных пунктов, расположенных в сельской местности, </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1.3.</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Обеспечение объектами инженерной инфраструктуры и автомобильными дорогами общего пользования с твердым покрытием и социальной инфраструктурой</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bl>
    <w:p>
      <w:pPr>
        <w:autoSpaceDE w:val="0"/>
        <w:autoSpaceDN w:val="0"/>
        <w:adjustRightInd w:val="0"/>
        <w:ind w:firstLine="709"/>
        <w:jc w:val="both"/>
        <w:outlineLvl w:val="1"/>
        <w:rPr>
          <w:rFonts w:eastAsia="Calibri"/>
          <w:sz w:val="28"/>
          <w:szCs w:val="28"/>
          <w:lang w:eastAsia="en-US"/>
        </w:rPr>
      </w:pPr>
    </w:p>
    <w:p>
      <w:pPr>
        <w:jc w:val="both"/>
        <w:rPr>
          <w:sz w:val="22"/>
          <w:szCs w:val="22"/>
        </w:rPr>
      </w:pPr>
    </w:p>
    <w:p>
      <w:pPr>
        <w:jc w:val="right"/>
        <w:rPr>
          <w:sz w:val="22"/>
          <w:szCs w:val="22"/>
        </w:rPr>
      </w:pPr>
      <w:r>
        <w:rPr>
          <w:sz w:val="22"/>
          <w:szCs w:val="22"/>
        </w:rPr>
        <w:t>Приложение № 6</w:t>
      </w:r>
    </w:p>
    <w:p>
      <w:pPr>
        <w:jc w:val="right"/>
        <w:rPr>
          <w:sz w:val="22"/>
          <w:szCs w:val="22"/>
        </w:rPr>
      </w:pPr>
      <w:r>
        <w:rPr>
          <w:sz w:val="22"/>
          <w:szCs w:val="22"/>
        </w:rPr>
        <w:t xml:space="preserve">к муниципальной  программе </w:t>
      </w:r>
    </w:p>
    <w:p>
      <w:pPr>
        <w:jc w:val="right"/>
        <w:rPr>
          <w:sz w:val="22"/>
          <w:szCs w:val="22"/>
        </w:rPr>
      </w:pPr>
      <w:r>
        <w:rPr>
          <w:sz w:val="22"/>
          <w:szCs w:val="22"/>
        </w:rPr>
        <w:t>«Развитие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  </w:t>
      </w:r>
    </w:p>
    <w:p>
      <w:pPr>
        <w:jc w:val="right"/>
        <w:rPr>
          <w:sz w:val="22"/>
          <w:szCs w:val="22"/>
        </w:rPr>
      </w:pPr>
      <w:r>
        <w:rPr>
          <w:sz w:val="22"/>
          <w:szCs w:val="22"/>
        </w:rPr>
        <w:t>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center"/>
      </w:pPr>
    </w:p>
    <w:p>
      <w:pPr>
        <w:jc w:val="center"/>
        <w:rPr>
          <w:b/>
          <w:sz w:val="22"/>
          <w:szCs w:val="22"/>
        </w:rPr>
      </w:pPr>
      <w:r>
        <w:rPr>
          <w:b/>
          <w:sz w:val="22"/>
          <w:szCs w:val="22"/>
        </w:rPr>
        <w:t xml:space="preserve">Р А С Ч Е Т  </w:t>
      </w:r>
    </w:p>
    <w:p>
      <w:pPr>
        <w:jc w:val="center"/>
      </w:pPr>
      <w:r>
        <w:rPr>
          <w:b/>
          <w:sz w:val="22"/>
          <w:szCs w:val="22"/>
        </w:rPr>
        <w:t>планируемой оценки эффективности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tbl>
      <w:tblPr>
        <w:tblStyle w:val="30"/>
        <w:tblpPr w:leftFromText="180" w:rightFromText="180" w:vertAnchor="text" w:horzAnchor="page" w:tblpX="1027" w:tblpY="258"/>
        <w:tblOverlap w:val="never"/>
        <w:tblW w:w="15006" w:type="dxa"/>
        <w:tblInd w:w="0" w:type="dxa"/>
        <w:tblLayout w:type="fixed"/>
        <w:tblCellMar>
          <w:top w:w="0" w:type="dxa"/>
          <w:left w:w="108" w:type="dxa"/>
          <w:bottom w:w="0" w:type="dxa"/>
          <w:right w:w="108" w:type="dxa"/>
        </w:tblCellMar>
      </w:tblPr>
      <w:tblGrid>
        <w:gridCol w:w="2187"/>
        <w:gridCol w:w="709"/>
        <w:gridCol w:w="914"/>
        <w:gridCol w:w="875"/>
        <w:gridCol w:w="1433"/>
        <w:gridCol w:w="1658"/>
        <w:gridCol w:w="1476"/>
        <w:gridCol w:w="1487"/>
        <w:gridCol w:w="1319"/>
        <w:gridCol w:w="1295"/>
        <w:gridCol w:w="1653"/>
      </w:tblGrid>
      <w:tr>
        <w:tblPrEx>
          <w:tblLayout w:type="fixed"/>
          <w:tblCellMar>
            <w:top w:w="0" w:type="dxa"/>
            <w:left w:w="108" w:type="dxa"/>
            <w:bottom w:w="0" w:type="dxa"/>
            <w:right w:w="108" w:type="dxa"/>
          </w:tblCellMar>
        </w:tblPrEx>
        <w:trPr>
          <w:trHeight w:val="2204" w:hRule="exact"/>
          <w:tblHeader/>
        </w:trPr>
        <w:tc>
          <w:tcPr>
            <w:tcW w:w="2187" w:type="dxa"/>
            <w:tcBorders>
              <w:top w:val="single" w:color="000000" w:sz="4" w:space="0"/>
              <w:left w:val="single" w:color="000000" w:sz="4" w:space="0"/>
              <w:bottom w:val="single" w:color="000000" w:sz="4" w:space="0"/>
            </w:tcBorders>
            <w:shd w:val="clear" w:color="auto" w:fill="auto"/>
          </w:tcPr>
          <w:p>
            <w:pPr>
              <w:snapToGrid w:val="0"/>
              <w:jc w:val="center"/>
              <w:rPr>
                <w:spacing w:val="-20"/>
                <w:sz w:val="22"/>
                <w:szCs w:val="22"/>
              </w:rPr>
            </w:pPr>
          </w:p>
          <w:p>
            <w:pPr>
              <w:rPr>
                <w:spacing w:val="-20"/>
                <w:sz w:val="22"/>
                <w:szCs w:val="22"/>
              </w:rPr>
            </w:pPr>
            <w:r>
              <w:rPr>
                <w:spacing w:val="-20"/>
                <w:sz w:val="22"/>
                <w:szCs w:val="22"/>
              </w:rPr>
              <w:t>Наименование целевого показателя</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Ед.</w:t>
            </w:r>
          </w:p>
          <w:p>
            <w:pPr>
              <w:rPr>
                <w:spacing w:val="-20"/>
                <w:sz w:val="22"/>
                <w:szCs w:val="22"/>
              </w:rPr>
            </w:pPr>
            <w:r>
              <w:rPr>
                <w:spacing w:val="-20"/>
                <w:sz w:val="22"/>
                <w:szCs w:val="22"/>
              </w:rPr>
              <w:t>изме-</w:t>
            </w:r>
          </w:p>
          <w:p>
            <w:pPr>
              <w:jc w:val="center"/>
              <w:rPr>
                <w:spacing w:val="-20"/>
                <w:sz w:val="22"/>
                <w:szCs w:val="22"/>
              </w:rPr>
            </w:pPr>
            <w:r>
              <w:rPr>
                <w:spacing w:val="-20"/>
                <w:sz w:val="22"/>
                <w:szCs w:val="22"/>
              </w:rPr>
              <w:t>ррения</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базового года, 2019</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 руемый</w:t>
            </w:r>
          </w:p>
          <w:p>
            <w:pPr>
              <w:rPr>
                <w:spacing w:val="-20"/>
                <w:sz w:val="22"/>
                <w:szCs w:val="22"/>
              </w:rPr>
            </w:pPr>
            <w:r>
              <w:rPr>
                <w:spacing w:val="-20"/>
                <w:sz w:val="22"/>
                <w:szCs w:val="22"/>
              </w:rPr>
              <w:t>пока-</w:t>
            </w:r>
          </w:p>
          <w:p>
            <w:pPr>
              <w:rPr>
                <w:spacing w:val="-20"/>
                <w:sz w:val="22"/>
                <w:szCs w:val="22"/>
              </w:rPr>
            </w:pPr>
            <w:r>
              <w:rPr>
                <w:spacing w:val="-20"/>
                <w:sz w:val="22"/>
                <w:szCs w:val="22"/>
              </w:rPr>
              <w:t>затель, 2020</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результат</w:t>
            </w:r>
          </w:p>
          <w:p>
            <w:pPr>
              <w:ind w:left="-107" w:firstLine="107"/>
              <w:rPr>
                <w:spacing w:val="-20"/>
                <w:sz w:val="22"/>
                <w:szCs w:val="22"/>
              </w:rPr>
            </w:pPr>
            <w:r>
              <w:rPr>
                <w:spacing w:val="-20"/>
                <w:sz w:val="22"/>
                <w:szCs w:val="22"/>
              </w:rPr>
              <w:t>достижения</w:t>
            </w:r>
          </w:p>
          <w:p>
            <w:pPr>
              <w:ind w:left="-107" w:firstLine="107"/>
              <w:jc w:val="center"/>
              <w:rPr>
                <w:spacing w:val="-20"/>
                <w:sz w:val="22"/>
                <w:szCs w:val="22"/>
              </w:rPr>
            </w:pPr>
            <w:r>
              <w:rPr>
                <w:spacing w:val="-20"/>
                <w:sz w:val="22"/>
                <w:szCs w:val="22"/>
              </w:rPr>
              <w:t>t-ого целевого показателя</w:t>
            </w:r>
          </w:p>
          <w:p>
            <w:pPr>
              <w:ind w:left="-107" w:firstLine="107"/>
              <w:rPr>
                <w:spacing w:val="-20"/>
                <w:sz w:val="22"/>
                <w:szCs w:val="22"/>
              </w:rPr>
            </w:pPr>
            <w:r>
              <w:rPr>
                <w:spacing w:val="-20"/>
                <w:sz w:val="22"/>
                <w:szCs w:val="22"/>
              </w:rPr>
              <w:t>j-ой под-программы</w:t>
            </w:r>
          </w:p>
          <w:p>
            <w:pPr>
              <w:ind w:left="-107" w:firstLine="107"/>
              <w:jc w:val="center"/>
              <w:rPr>
                <w:spacing w:val="-20"/>
                <w:sz w:val="22"/>
                <w:szCs w:val="22"/>
              </w:rPr>
            </w:pPr>
          </w:p>
        </w:tc>
        <w:tc>
          <w:tcPr>
            <w:tcW w:w="1658" w:type="dxa"/>
            <w:tcBorders>
              <w:top w:val="single" w:color="000000" w:sz="4" w:space="0"/>
              <w:left w:val="single" w:color="000000" w:sz="4" w:space="0"/>
              <w:bottom w:val="single" w:color="000000" w:sz="4" w:space="0"/>
            </w:tcBorders>
            <w:shd w:val="clear" w:color="auto" w:fill="auto"/>
          </w:tcPr>
          <w:p>
            <w:pPr>
              <w:ind w:left="-141" w:right="-38"/>
              <w:rPr>
                <w:spacing w:val="-20"/>
                <w:sz w:val="22"/>
                <w:szCs w:val="22"/>
              </w:rPr>
            </w:pPr>
            <w:r>
              <w:rPr>
                <w:spacing w:val="-20"/>
                <w:sz w:val="22"/>
                <w:szCs w:val="22"/>
              </w:rPr>
              <w:t>Планируемый показатель результативности подпрограммы</w:t>
            </w:r>
          </w:p>
          <w:p>
            <w:pPr>
              <w:jc w:val="center"/>
              <w:rPr>
                <w:spacing w:val="-20"/>
                <w:sz w:val="22"/>
                <w:szCs w:val="22"/>
              </w:rPr>
            </w:pPr>
          </w:p>
          <w:p>
            <w:pPr>
              <w:jc w:val="center"/>
              <w:rPr>
                <w:spacing w:val="-20"/>
                <w:sz w:val="22"/>
                <w:szCs w:val="22"/>
              </w:rPr>
            </w:pP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объем средств на реализацию МП</w:t>
            </w:r>
          </w:p>
          <w:p>
            <w:pPr>
              <w:rPr>
                <w:spacing w:val="-20"/>
                <w:sz w:val="22"/>
                <w:szCs w:val="22"/>
              </w:rPr>
            </w:pPr>
            <w:r>
              <w:rPr>
                <w:spacing w:val="-20"/>
                <w:sz w:val="22"/>
                <w:szCs w:val="22"/>
              </w:rPr>
              <w:t>(тыс. руб.)</w:t>
            </w:r>
          </w:p>
          <w:p>
            <w:pPr>
              <w:jc w:val="center"/>
              <w:rPr>
                <w:spacing w:val="-20"/>
                <w:sz w:val="22"/>
                <w:szCs w:val="22"/>
              </w:rPr>
            </w:pPr>
          </w:p>
          <w:p>
            <w:pPr>
              <w:jc w:val="center"/>
              <w:rPr>
                <w:spacing w:val="-20"/>
                <w:sz w:val="22"/>
                <w:szCs w:val="22"/>
              </w:rPr>
            </w:pPr>
          </w:p>
          <w:p>
            <w:pPr>
              <w:jc w:val="center"/>
              <w:rPr>
                <w:spacing w:val="-20"/>
                <w:sz w:val="22"/>
                <w:szCs w:val="22"/>
              </w:rPr>
            </w:pPr>
          </w:p>
        </w:tc>
        <w:tc>
          <w:tcPr>
            <w:tcW w:w="1487"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rFonts w:eastAsia="Batang"/>
                <w:spacing w:val="-20"/>
                <w:sz w:val="22"/>
                <w:szCs w:val="22"/>
                <w:lang w:eastAsia="ko-KR"/>
              </w:rPr>
              <w:t>Коэффи-</w:t>
            </w:r>
          </w:p>
          <w:p>
            <w:pPr>
              <w:rPr>
                <w:rFonts w:eastAsia="Batang"/>
                <w:spacing w:val="-20"/>
                <w:sz w:val="22"/>
                <w:szCs w:val="22"/>
                <w:lang w:eastAsia="ko-KR"/>
              </w:rPr>
            </w:pPr>
            <w:r>
              <w:rPr>
                <w:rFonts w:eastAsia="Batang"/>
                <w:spacing w:val="-20"/>
                <w:sz w:val="22"/>
                <w:szCs w:val="22"/>
                <w:lang w:eastAsia="ko-KR"/>
              </w:rPr>
              <w:t>циент  влияния</w:t>
            </w:r>
          </w:p>
          <w:p>
            <w:pPr>
              <w:rPr>
                <w:rFonts w:eastAsia="Batang"/>
                <w:spacing w:val="-20"/>
                <w:sz w:val="22"/>
                <w:szCs w:val="22"/>
                <w:lang w:eastAsia="ko-KR"/>
              </w:rPr>
            </w:pPr>
            <w:r>
              <w:rPr>
                <w:rFonts w:eastAsia="Batang"/>
                <w:spacing w:val="-20"/>
                <w:sz w:val="22"/>
                <w:szCs w:val="22"/>
                <w:lang w:eastAsia="ko-KR"/>
              </w:rPr>
              <w:t>подпрограммы на эффектив-ность МП</w:t>
            </w:r>
          </w:p>
          <w:p>
            <w:pPr>
              <w:jc w:val="center"/>
              <w:rPr>
                <w:rFonts w:eastAsia="Batang"/>
                <w:spacing w:val="-20"/>
                <w:sz w:val="22"/>
                <w:szCs w:val="22"/>
                <w:lang w:eastAsia="ko-KR"/>
              </w:rPr>
            </w:pPr>
          </w:p>
          <w:p>
            <w:pPr>
              <w:jc w:val="center"/>
              <w:rPr>
                <w:spacing w:val="-20"/>
                <w:sz w:val="22"/>
                <w:szCs w:val="22"/>
              </w:rPr>
            </w:pPr>
          </w:p>
        </w:tc>
        <w:tc>
          <w:tcPr>
            <w:tcW w:w="1319"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spacing w:val="-20"/>
                <w:sz w:val="22"/>
                <w:szCs w:val="22"/>
              </w:rPr>
              <w:t>Суммарная планируемая результатив-ность МП</w:t>
            </w:r>
          </w:p>
          <w:p>
            <w:pPr>
              <w:jc w:val="center"/>
              <w:rPr>
                <w:rFonts w:eastAsia="Batang"/>
                <w:spacing w:val="-20"/>
                <w:sz w:val="22"/>
                <w:szCs w:val="22"/>
                <w:lang w:eastAsia="ko-KR"/>
              </w:rPr>
            </w:pPr>
          </w:p>
          <w:p>
            <w:pPr>
              <w:jc w:val="center"/>
              <w:rPr>
                <w:spacing w:val="-20"/>
                <w:sz w:val="22"/>
                <w:szCs w:val="22"/>
              </w:rPr>
            </w:pPr>
          </w:p>
          <w:p>
            <w:pPr>
              <w:jc w:val="center"/>
              <w:rPr>
                <w:spacing w:val="-20"/>
                <w:sz w:val="22"/>
                <w:szCs w:val="22"/>
              </w:rPr>
            </w:pP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результатив-ности достижения  i-ого целевого показателя ГП</w:t>
            </w:r>
          </w:p>
          <w:p>
            <w:pPr>
              <w:jc w:val="center"/>
              <w:rPr>
                <w:spacing w:val="-20"/>
                <w:sz w:val="22"/>
                <w:szCs w:val="22"/>
              </w:rPr>
            </w:pPr>
          </w:p>
          <w:p>
            <w:pPr>
              <w:jc w:val="center"/>
              <w:rPr>
                <w:spacing w:val="-20"/>
                <w:sz w:val="22"/>
                <w:szCs w:val="22"/>
              </w:rPr>
            </w:pPr>
          </w:p>
          <w:p>
            <w:pPr>
              <w:jc w:val="center"/>
              <w:rPr>
                <w:spacing w:val="-20"/>
                <w:sz w:val="22"/>
                <w:szCs w:val="22"/>
              </w:rPr>
            </w:pPr>
          </w:p>
          <w:p>
            <w:pPr>
              <w:jc w:val="center"/>
              <w:rPr>
                <w:spacing w:val="-20"/>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spacing w:val="-20"/>
                <w:sz w:val="22"/>
                <w:szCs w:val="22"/>
              </w:rPr>
            </w:pPr>
            <w:r>
              <w:rPr>
                <w:spacing w:val="-20"/>
                <w:sz w:val="22"/>
                <w:szCs w:val="22"/>
              </w:rPr>
              <w:t>Планируемый показатель результативности МП</w:t>
            </w:r>
          </w:p>
          <w:p>
            <w:pPr>
              <w:jc w:val="center"/>
              <w:rPr>
                <w:spacing w:val="-20"/>
                <w:sz w:val="22"/>
                <w:szCs w:val="22"/>
              </w:rPr>
            </w:pPr>
          </w:p>
          <w:p>
            <w:pPr>
              <w:ind w:left="-13"/>
              <w:jc w:val="center"/>
              <w:rPr>
                <w:spacing w:val="-20"/>
                <w:sz w:val="22"/>
                <w:szCs w:val="22"/>
              </w:rPr>
            </w:pPr>
          </w:p>
        </w:tc>
      </w:tr>
      <w:tr>
        <w:tblPrEx>
          <w:tblLayout w:type="fixed"/>
          <w:tblCellMar>
            <w:top w:w="0" w:type="dxa"/>
            <w:left w:w="108" w:type="dxa"/>
            <w:bottom w:w="0" w:type="dxa"/>
            <w:right w:w="108" w:type="dxa"/>
          </w:tblCellMar>
        </w:tblPrEx>
        <w:trPr>
          <w:tblHeader/>
        </w:trPr>
        <w:tc>
          <w:tcPr>
            <w:tcW w:w="21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2</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3</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4</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5</w:t>
            </w:r>
          </w:p>
        </w:tc>
        <w:tc>
          <w:tcPr>
            <w:tcW w:w="1658"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6</w:t>
            </w: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7</w:t>
            </w:r>
          </w:p>
        </w:tc>
        <w:tc>
          <w:tcPr>
            <w:tcW w:w="14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8</w:t>
            </w:r>
          </w:p>
        </w:tc>
        <w:tc>
          <w:tcPr>
            <w:tcW w:w="131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9</w:t>
            </w: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10</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rFonts w:eastAsia="Batang"/>
                <w:sz w:val="22"/>
                <w:szCs w:val="22"/>
                <w:lang w:eastAsia="ko-KR"/>
              </w:rPr>
            </w:pPr>
            <w:r>
              <w:rPr>
                <w:spacing w:val="-20"/>
                <w:sz w:val="22"/>
                <w:szCs w:val="22"/>
              </w:rPr>
              <w:t>11</w:t>
            </w:r>
          </w:p>
        </w:tc>
      </w:tr>
      <w:tr>
        <w:tblPrEx>
          <w:tblLayout w:type="fixed"/>
          <w:tblCellMar>
            <w:top w:w="0" w:type="dxa"/>
            <w:left w:w="108" w:type="dxa"/>
            <w:bottom w:w="0" w:type="dxa"/>
            <w:right w:w="108" w:type="dxa"/>
          </w:tblCellMar>
        </w:tblPrEx>
        <w:tc>
          <w:tcPr>
            <w:tcW w:w="15006" w:type="dxa"/>
            <w:gridSpan w:val="11"/>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rFonts w:eastAsia="Batang"/>
                <w:sz w:val="22"/>
                <w:szCs w:val="22"/>
                <w:lang w:eastAsia="ko-KR"/>
              </w:rPr>
              <w:t xml:space="preserve">Муниципальная  подпрограмма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jc w:val="center"/>
              <w:rPr>
                <w:sz w:val="22"/>
                <w:szCs w:val="22"/>
              </w:rPr>
            </w:pPr>
          </w:p>
          <w:p>
            <w:pPr>
              <w:jc w:val="center"/>
              <w:rPr>
                <w:spacing w:val="-20"/>
                <w:kern w:val="1"/>
                <w:sz w:val="22"/>
                <w:szCs w:val="22"/>
              </w:rPr>
            </w:pP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autoSpaceDE w:val="0"/>
              <w:autoSpaceDN w:val="0"/>
              <w:adjustRightInd w:val="0"/>
              <w:jc w:val="both"/>
              <w:rPr>
                <w:sz w:val="22"/>
                <w:szCs w:val="22"/>
              </w:rPr>
            </w:pPr>
            <w:r>
              <w:rPr>
                <w:sz w:val="22"/>
                <w:szCs w:val="22"/>
              </w:rPr>
              <w:t xml:space="preserve">Ввод (приобретение) жилья для граждан, проживающих на сельских территориях,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pacing w:val="-20"/>
                <w:kern w:val="1"/>
                <w:sz w:val="22"/>
                <w:szCs w:val="22"/>
              </w:rPr>
            </w:pPr>
            <w:r>
              <w:rPr>
                <w:sz w:val="22"/>
                <w:szCs w:val="22"/>
              </w:rPr>
              <w:t>Х</w:t>
            </w: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rPr>
                <w:sz w:val="22"/>
                <w:szCs w:val="22"/>
              </w:rPr>
            </w:pPr>
            <w:r>
              <w:rPr>
                <w:sz w:val="22"/>
                <w:szCs w:val="22"/>
              </w:rPr>
              <w:t xml:space="preserve">Ввод жилья, предоставленного гражданам по договорам найма жилого помещения, кв. м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z w:val="22"/>
                <w:szCs w:val="22"/>
              </w:rPr>
            </w:pPr>
            <w:r>
              <w:rPr>
                <w:sz w:val="22"/>
                <w:szCs w:val="22"/>
              </w:rPr>
              <w:t>Х</w:t>
            </w:r>
          </w:p>
        </w:tc>
      </w:tr>
      <w:tr>
        <w:tblPrEx>
          <w:tblLayout w:type="fixed"/>
          <w:tblCellMar>
            <w:top w:w="0" w:type="dxa"/>
            <w:left w:w="108" w:type="dxa"/>
            <w:bottom w:w="0" w:type="dxa"/>
            <w:right w:w="108" w:type="dxa"/>
          </w:tblCellMar>
        </w:tblPrEx>
        <w:trPr>
          <w:trHeight w:val="465" w:hRule="atLeast"/>
        </w:trPr>
        <w:tc>
          <w:tcPr>
            <w:tcW w:w="2187" w:type="dxa"/>
            <w:tcBorders>
              <w:top w:val="single" w:color="000000" w:sz="4" w:space="0"/>
              <w:left w:val="single" w:color="000000" w:sz="4" w:space="0"/>
              <w:bottom w:val="single" w:color="000000" w:sz="4" w:space="0"/>
            </w:tcBorders>
            <w:shd w:val="clear" w:color="auto" w:fill="auto"/>
          </w:tcPr>
          <w:p>
            <w:pPr>
              <w:spacing w:line="216" w:lineRule="auto"/>
              <w:rPr>
                <w:sz w:val="22"/>
                <w:szCs w:val="22"/>
              </w:rPr>
            </w:pPr>
            <w:r>
              <w:rPr>
                <w:spacing w:val="-20"/>
                <w:sz w:val="22"/>
                <w:szCs w:val="22"/>
              </w:rPr>
              <w:t>Итоговое значение  (по подпрограмме)</w:t>
            </w:r>
          </w:p>
        </w:tc>
        <w:tc>
          <w:tcPr>
            <w:tcW w:w="70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914"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87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487"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31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sz w:val="22"/>
                <w:szCs w:val="22"/>
              </w:rPr>
              <w:t>Х</w:t>
            </w:r>
          </w:p>
        </w:tc>
      </w:tr>
    </w:tbl>
    <w:p>
      <w:pPr>
        <w:jc w:val="center"/>
        <w:rPr>
          <w:bCs/>
        </w:rPr>
      </w:pPr>
    </w:p>
    <w:p>
      <w:pPr>
        <w:autoSpaceDE w:val="0"/>
        <w:autoSpaceDN w:val="0"/>
        <w:adjustRightInd w:val="0"/>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jc w:val="right"/>
        <w:rPr>
          <w:sz w:val="22"/>
          <w:szCs w:val="22"/>
        </w:rPr>
      </w:pPr>
      <w:r>
        <w:rPr>
          <w:sz w:val="22"/>
          <w:szCs w:val="22"/>
        </w:rPr>
        <w:t>Приложение № 7</w:t>
      </w:r>
    </w:p>
    <w:p>
      <w:pPr>
        <w:jc w:val="right"/>
        <w:rPr>
          <w:sz w:val="22"/>
          <w:szCs w:val="22"/>
        </w:rPr>
      </w:pPr>
      <w:r>
        <w:rPr>
          <w:sz w:val="22"/>
          <w:szCs w:val="22"/>
        </w:rPr>
        <w:t>к муниципальной  программе</w:t>
      </w:r>
    </w:p>
    <w:p>
      <w:pPr>
        <w:jc w:val="right"/>
        <w:rPr>
          <w:sz w:val="22"/>
          <w:szCs w:val="22"/>
        </w:rPr>
      </w:pPr>
      <w:r>
        <w:rPr>
          <w:sz w:val="22"/>
          <w:szCs w:val="22"/>
        </w:rPr>
        <w:t xml:space="preserve"> «Развитие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w:t>
      </w:r>
    </w:p>
    <w:p>
      <w:pPr>
        <w:jc w:val="right"/>
        <w:rPr>
          <w:sz w:val="22"/>
          <w:szCs w:val="22"/>
        </w:rPr>
      </w:pPr>
      <w:r>
        <w:rPr>
          <w:sz w:val="22"/>
          <w:szCs w:val="22"/>
        </w:rPr>
        <w:t xml:space="preserve">  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right"/>
        <w:rPr>
          <w:sz w:val="22"/>
          <w:szCs w:val="22"/>
        </w:rPr>
      </w:pPr>
    </w:p>
    <w:p>
      <w:pPr>
        <w:autoSpaceDN w:val="0"/>
        <w:adjustRightInd w:val="0"/>
        <w:jc w:val="right"/>
        <w:outlineLvl w:val="1"/>
      </w:pPr>
    </w:p>
    <w:p>
      <w:pPr>
        <w:autoSpaceDN w:val="0"/>
        <w:adjustRightInd w:val="0"/>
        <w:jc w:val="center"/>
        <w:outlineLvl w:val="1"/>
        <w:rPr>
          <w:b/>
          <w:sz w:val="22"/>
          <w:szCs w:val="22"/>
        </w:rPr>
      </w:pPr>
      <w:r>
        <w:rPr>
          <w:b/>
          <w:sz w:val="22"/>
          <w:szCs w:val="22"/>
        </w:rPr>
        <w:t>Планируемая эффективность муниципальной подпрограммы</w:t>
      </w:r>
    </w:p>
    <w:p>
      <w:pPr>
        <w:jc w:val="center"/>
        <w:rPr>
          <w:b/>
          <w:bCs/>
          <w:sz w:val="22"/>
          <w:szCs w:val="22"/>
        </w:rPr>
      </w:pPr>
      <w:r>
        <w:rPr>
          <w:b/>
          <w:bCs/>
          <w:sz w:val="22"/>
          <w:szCs w:val="22"/>
        </w:rPr>
        <w:t xml:space="preserve">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p>
      <w:pPr>
        <w:autoSpaceDE w:val="0"/>
        <w:autoSpaceDN w:val="0"/>
        <w:adjustRightInd w:val="0"/>
        <w:ind w:firstLine="709"/>
        <w:jc w:val="center"/>
        <w:rPr>
          <w:b/>
          <w:sz w:val="22"/>
          <w:szCs w:val="22"/>
        </w:rPr>
      </w:pPr>
    </w:p>
    <w:p>
      <w:pPr>
        <w:autoSpaceDN w:val="0"/>
        <w:adjustRightInd w:val="0"/>
        <w:jc w:val="center"/>
        <w:outlineLvl w:val="1"/>
      </w:pPr>
    </w:p>
    <w:tbl>
      <w:tblPr>
        <w:tblStyle w:val="30"/>
        <w:tblW w:w="15451" w:type="dxa"/>
        <w:tblInd w:w="-639" w:type="dxa"/>
        <w:tblLayout w:type="fixed"/>
        <w:tblCellMar>
          <w:top w:w="0" w:type="dxa"/>
          <w:left w:w="70" w:type="dxa"/>
          <w:bottom w:w="0" w:type="dxa"/>
          <w:right w:w="70" w:type="dxa"/>
        </w:tblCellMar>
      </w:tblPr>
      <w:tblGrid>
        <w:gridCol w:w="6238"/>
        <w:gridCol w:w="1275"/>
        <w:gridCol w:w="1418"/>
        <w:gridCol w:w="1276"/>
        <w:gridCol w:w="1275"/>
        <w:gridCol w:w="1134"/>
        <w:gridCol w:w="142"/>
        <w:gridCol w:w="1276"/>
        <w:gridCol w:w="1417"/>
      </w:tblGrid>
      <w:tr>
        <w:tblPrEx>
          <w:tblLayout w:type="fixed"/>
          <w:tblCellMar>
            <w:top w:w="0" w:type="dxa"/>
            <w:left w:w="70" w:type="dxa"/>
            <w:bottom w:w="0" w:type="dxa"/>
            <w:right w:w="70" w:type="dxa"/>
          </w:tblCellMar>
        </w:tblPrEx>
        <w:trPr>
          <w:cantSplit/>
          <w:trHeight w:val="480" w:hRule="atLeast"/>
        </w:trPr>
        <w:tc>
          <w:tcPr>
            <w:tcW w:w="6238" w:type="dxa"/>
            <w:vMerge w:val="restart"/>
            <w:tcBorders>
              <w:top w:val="single" w:color="auto" w:sz="6" w:space="0"/>
              <w:left w:val="single" w:color="auto" w:sz="6" w:space="0"/>
              <w:bottom w:val="nil"/>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Наименование показателя</w:t>
            </w:r>
          </w:p>
        </w:tc>
        <w:tc>
          <w:tcPr>
            <w:tcW w:w="9213" w:type="dxa"/>
            <w:gridSpan w:val="8"/>
            <w:tcBorders>
              <w:top w:val="single" w:color="auto" w:sz="6" w:space="0"/>
              <w:left w:val="single" w:color="auto" w:sz="6" w:space="0"/>
              <w:bottom w:val="single" w:color="auto" w:sz="6" w:space="0"/>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 xml:space="preserve">Планируемый показатель     </w:t>
            </w:r>
            <w:r>
              <w:rPr>
                <w:rFonts w:ascii="Times New Roman" w:hAnsi="Times New Roman" w:cs="Times New Roman"/>
              </w:rPr>
              <w:br w:type="textWrapping"/>
            </w:r>
            <w:r>
              <w:rPr>
                <w:rFonts w:ascii="Times New Roman" w:hAnsi="Times New Roman" w:cs="Times New Roman"/>
              </w:rPr>
              <w:t xml:space="preserve">эффективности МП по годам   </w:t>
            </w:r>
            <w:r>
              <w:rPr>
                <w:rFonts w:ascii="Times New Roman" w:hAnsi="Times New Roman" w:cs="Times New Roman"/>
              </w:rPr>
              <w:br w:type="textWrapping"/>
            </w:r>
            <w:r>
              <w:rPr>
                <w:rFonts w:ascii="Times New Roman" w:hAnsi="Times New Roman" w:cs="Times New Roman"/>
              </w:rPr>
              <w:t>реализации</w:t>
            </w:r>
          </w:p>
        </w:tc>
      </w:tr>
      <w:tr>
        <w:tblPrEx>
          <w:tblLayout w:type="fixed"/>
          <w:tblCellMar>
            <w:top w:w="0" w:type="dxa"/>
            <w:left w:w="70" w:type="dxa"/>
            <w:bottom w:w="0" w:type="dxa"/>
            <w:right w:w="70" w:type="dxa"/>
          </w:tblCellMar>
        </w:tblPrEx>
        <w:trPr>
          <w:cantSplit/>
          <w:trHeight w:val="240" w:hRule="atLeast"/>
        </w:trPr>
        <w:tc>
          <w:tcPr>
            <w:tcW w:w="6238" w:type="dxa"/>
            <w:vMerge w:val="continue"/>
            <w:tcBorders>
              <w:top w:val="nil"/>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2020 год</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2021 год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2022 год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2023 год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2024 год</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2025 год</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1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   </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3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4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5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6</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7</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8</w:t>
            </w:r>
          </w:p>
        </w:tc>
      </w:tr>
      <w:tr>
        <w:tblPrEx>
          <w:tblLayout w:type="fixed"/>
          <w:tblCellMar>
            <w:top w:w="0" w:type="dxa"/>
            <w:left w:w="70" w:type="dxa"/>
            <w:bottom w:w="0" w:type="dxa"/>
            <w:right w:w="70" w:type="dxa"/>
          </w:tblCellMar>
        </w:tblPrEx>
        <w:trPr>
          <w:cantSplit/>
          <w:trHeight w:val="240" w:hRule="atLeast"/>
        </w:trPr>
        <w:tc>
          <w:tcPr>
            <w:tcW w:w="15451" w:type="dxa"/>
            <w:gridSpan w:val="9"/>
            <w:tcBorders>
              <w:top w:val="single" w:color="auto" w:sz="6" w:space="0"/>
              <w:left w:val="single" w:color="auto" w:sz="6" w:space="0"/>
              <w:bottom w:val="single" w:color="auto" w:sz="6" w:space="0"/>
              <w:right w:val="single" w:color="auto" w:sz="6" w:space="0"/>
            </w:tcBorders>
          </w:tcPr>
          <w:p>
            <w:pPr>
              <w:jc w:val="center"/>
              <w:rPr>
                <w:bCs/>
              </w:rPr>
            </w:pPr>
            <w:r>
              <w:t xml:space="preserve">Муниципальная программа </w:t>
            </w:r>
            <w:r>
              <w:rPr>
                <w:b/>
              </w:rPr>
              <w:t xml:space="preserve">  </w:t>
            </w:r>
            <w:r>
              <w:rPr>
                <w:bCs/>
                <w:sz w:val="22"/>
                <w:szCs w:val="22"/>
              </w:rPr>
              <w:t xml:space="preserve">Кривошеевского сельсовета Нижнеломовского района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Cs/>
                <w:sz w:val="22"/>
                <w:szCs w:val="22"/>
              </w:rPr>
              <w:t xml:space="preserve"> </w:t>
            </w:r>
          </w:p>
          <w:p>
            <w:pPr>
              <w:autoSpaceDE w:val="0"/>
              <w:autoSpaceDN w:val="0"/>
              <w:adjustRightInd w:val="0"/>
              <w:ind w:firstLine="709"/>
              <w:jc w:val="center"/>
              <w:rPr>
                <w:b/>
              </w:rPr>
            </w:pPr>
          </w:p>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Планируемый показатель результативности  </w:t>
            </w:r>
            <w:r>
              <w:rPr>
                <w:rFonts w:ascii="Times New Roman" w:hAnsi="Times New Roman" w:cs="Times New Roman"/>
              </w:rPr>
              <w:br w:type="textWrapping"/>
            </w:r>
            <w:r>
              <w:rPr>
                <w:rFonts w:ascii="Times New Roman" w:hAnsi="Times New Roman" w:cs="Times New Roman"/>
              </w:rPr>
              <w:t xml:space="preserve">МП (Эмп)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Суммарная планируемая результативность   </w:t>
            </w:r>
            <w:r>
              <w:rPr>
                <w:rFonts w:ascii="Times New Roman" w:hAnsi="Times New Roman" w:cs="Times New Roman"/>
              </w:rPr>
              <w:br w:type="textWrapping"/>
            </w:r>
            <w:r>
              <w:rPr>
                <w:rFonts w:ascii="Times New Roman" w:hAnsi="Times New Roman" w:cs="Times New Roman"/>
              </w:rPr>
              <w:t xml:space="preserve">(Эпп)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Отклонение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bl>
    <w:p>
      <w:pPr>
        <w:autoSpaceDE w:val="0"/>
        <w:autoSpaceDN w:val="0"/>
        <w:adjustRightInd w:val="0"/>
        <w:ind w:firstLine="709"/>
        <w:jc w:val="both"/>
        <w:outlineLvl w:val="1"/>
        <w:rPr>
          <w:rFonts w:eastAsia="Calibri"/>
          <w:sz w:val="28"/>
          <w:szCs w:val="28"/>
          <w:lang w:eastAsia="en-US"/>
        </w:rPr>
      </w:pPr>
    </w:p>
    <w:p/>
    <w:p>
      <w:pPr>
        <w:rPr>
          <w:sz w:val="28"/>
          <w:szCs w:val="28"/>
        </w:rPr>
      </w:pPr>
    </w:p>
    <w:sectPr>
      <w:headerReference r:id="rId6" w:type="even"/>
      <w:endnotePr>
        <w:numFmt w:val="decimal"/>
      </w:endnotePr>
      <w:pgSz w:w="16840" w:h="11907" w:orient="landscape"/>
      <w:pgMar w:top="-22" w:right="1134" w:bottom="851" w:left="1134" w:header="720" w:footer="720"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PetersburgCTT">
    <w:altName w:val="Times New Roman"/>
    <w:panose1 w:val="00000000000000000000"/>
    <w:charset w:val="CC"/>
    <w:family w:val="roman"/>
    <w:pitch w:val="default"/>
    <w:sig w:usb0="00000000" w:usb1="00000000" w:usb2="00000000" w:usb3="00000000" w:csb0="00000005" w:csb1="00000000"/>
  </w:font>
  <w:font w:name="Tahoma">
    <w:panose1 w:val="020B0604030504040204"/>
    <w:charset w:val="CC"/>
    <w:family w:val="swiss"/>
    <w:pitch w:val="default"/>
    <w:sig w:usb0="E1002EFF" w:usb1="C000605B" w:usb2="00000029" w:usb3="00000000" w:csb0="200101FF" w:csb1="20280000"/>
  </w:font>
  <w:font w:name="Mangal">
    <w:panose1 w:val="02040503050203030202"/>
    <w:charset w:val="01"/>
    <w:family w:val="roman"/>
    <w:pitch w:val="default"/>
    <w:sig w:usb0="00008003"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NSimSun">
    <w:panose1 w:val="02010609030101010101"/>
    <w:charset w:val="86"/>
    <w:family w:val="modern"/>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360"/>
      <w:rPr>
        <w:rStyle w:val="29"/>
      </w:rPr>
    </w:pPr>
  </w:p>
  <w:p>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6240"/>
      </w:tabs>
    </w:pPr>
    <w:r>
      <w:tab/>
    </w:r>
  </w:p>
  <w:p>
    <w:pPr>
      <w:pStyle w:val="17"/>
      <w:tabs>
        <w:tab w:val="left" w:pos="62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2"/>
  </w:compat>
  <w:rsids>
    <w:rsidRoot w:val="007B356B"/>
    <w:rsid w:val="00042013"/>
    <w:rsid w:val="000E74C0"/>
    <w:rsid w:val="000F60D7"/>
    <w:rsid w:val="00107840"/>
    <w:rsid w:val="0013043E"/>
    <w:rsid w:val="00193B38"/>
    <w:rsid w:val="001A53BF"/>
    <w:rsid w:val="001E43DA"/>
    <w:rsid w:val="00271F08"/>
    <w:rsid w:val="002C27BF"/>
    <w:rsid w:val="003000E8"/>
    <w:rsid w:val="0030217A"/>
    <w:rsid w:val="003544FA"/>
    <w:rsid w:val="00415621"/>
    <w:rsid w:val="00435D19"/>
    <w:rsid w:val="00473FA3"/>
    <w:rsid w:val="00582207"/>
    <w:rsid w:val="00687920"/>
    <w:rsid w:val="00711AB2"/>
    <w:rsid w:val="007A34FF"/>
    <w:rsid w:val="007B356B"/>
    <w:rsid w:val="00840AD1"/>
    <w:rsid w:val="00856061"/>
    <w:rsid w:val="008968C2"/>
    <w:rsid w:val="008A03AA"/>
    <w:rsid w:val="008A043B"/>
    <w:rsid w:val="008D7B1B"/>
    <w:rsid w:val="00955188"/>
    <w:rsid w:val="00A23FB8"/>
    <w:rsid w:val="00B40C8F"/>
    <w:rsid w:val="00B47670"/>
    <w:rsid w:val="00B728B1"/>
    <w:rsid w:val="00BA19EB"/>
    <w:rsid w:val="00BD5189"/>
    <w:rsid w:val="00C37A92"/>
    <w:rsid w:val="00D84CF8"/>
    <w:rsid w:val="00DB343B"/>
    <w:rsid w:val="00E20FC0"/>
    <w:rsid w:val="060834C6"/>
    <w:rsid w:val="0C285807"/>
    <w:rsid w:val="10F47112"/>
    <w:rsid w:val="12026D66"/>
    <w:rsid w:val="12B96353"/>
    <w:rsid w:val="1617401A"/>
    <w:rsid w:val="177D726C"/>
    <w:rsid w:val="1A00240B"/>
    <w:rsid w:val="1F761837"/>
    <w:rsid w:val="2431671B"/>
    <w:rsid w:val="29561C8D"/>
    <w:rsid w:val="2A8A34BE"/>
    <w:rsid w:val="2CEF78F1"/>
    <w:rsid w:val="2D385B86"/>
    <w:rsid w:val="2E853643"/>
    <w:rsid w:val="34401B41"/>
    <w:rsid w:val="35631D67"/>
    <w:rsid w:val="3A5A1C8A"/>
    <w:rsid w:val="405549C5"/>
    <w:rsid w:val="43E52C53"/>
    <w:rsid w:val="43F21FE0"/>
    <w:rsid w:val="483F1610"/>
    <w:rsid w:val="4B707F12"/>
    <w:rsid w:val="4BEF1D4E"/>
    <w:rsid w:val="51536AEB"/>
    <w:rsid w:val="52B244CD"/>
    <w:rsid w:val="56056D79"/>
    <w:rsid w:val="56B148C3"/>
    <w:rsid w:val="5A5E3AEB"/>
    <w:rsid w:val="5B051017"/>
    <w:rsid w:val="5DD05ADD"/>
    <w:rsid w:val="629D408E"/>
    <w:rsid w:val="647C2E4A"/>
    <w:rsid w:val="6E3E17D8"/>
    <w:rsid w:val="6F526A7E"/>
    <w:rsid w:val="70BB4E1B"/>
    <w:rsid w:val="761264FA"/>
    <w:rsid w:val="7FB94FE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99" w:semiHidden="0" w:name="heading 4"/>
    <w:lsdException w:qFormat="1" w:uiPriority="9"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nhideWhenUsed="0" w:uiPriority="99" w:semiHidden="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0" w:semiHidden="0" w:name="Emphasis"/>
    <w:lsdException w:unhideWhenUsed="0"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36"/>
    <w:qFormat/>
    <w:uiPriority w:val="0"/>
    <w:pPr>
      <w:keepNext/>
      <w:jc w:val="both"/>
      <w:outlineLvl w:val="0"/>
    </w:pPr>
  </w:style>
  <w:style w:type="paragraph" w:styleId="3">
    <w:name w:val="heading 2"/>
    <w:basedOn w:val="1"/>
    <w:next w:val="1"/>
    <w:link w:val="37"/>
    <w:qFormat/>
    <w:uiPriority w:val="99"/>
    <w:pPr>
      <w:keepNext/>
      <w:outlineLvl w:val="1"/>
    </w:pPr>
  </w:style>
  <w:style w:type="paragraph" w:styleId="4">
    <w:name w:val="heading 3"/>
    <w:basedOn w:val="1"/>
    <w:next w:val="1"/>
    <w:link w:val="38"/>
    <w:qFormat/>
    <w:uiPriority w:val="0"/>
    <w:pPr>
      <w:keepNext/>
      <w:jc w:val="center"/>
      <w:outlineLvl w:val="2"/>
    </w:pPr>
    <w:rPr>
      <w:b/>
      <w:bCs/>
      <w:sz w:val="40"/>
      <w:szCs w:val="40"/>
    </w:rPr>
  </w:style>
  <w:style w:type="paragraph" w:styleId="5">
    <w:name w:val="heading 4"/>
    <w:basedOn w:val="1"/>
    <w:next w:val="1"/>
    <w:link w:val="39"/>
    <w:qFormat/>
    <w:uiPriority w:val="99"/>
    <w:pPr>
      <w:keepNext/>
      <w:widowControl w:val="0"/>
      <w:jc w:val="center"/>
      <w:outlineLvl w:val="3"/>
    </w:pPr>
    <w:rPr>
      <w:sz w:val="28"/>
      <w:szCs w:val="28"/>
    </w:rPr>
  </w:style>
  <w:style w:type="paragraph" w:styleId="6">
    <w:name w:val="heading 6"/>
    <w:basedOn w:val="1"/>
    <w:next w:val="1"/>
    <w:link w:val="40"/>
    <w:qFormat/>
    <w:uiPriority w:val="99"/>
    <w:pPr>
      <w:tabs>
        <w:tab w:val="left" w:pos="0"/>
      </w:tabs>
      <w:spacing w:before="240" w:after="60"/>
      <w:ind w:left="4320" w:hanging="720"/>
      <w:jc w:val="both"/>
      <w:outlineLvl w:val="5"/>
    </w:pPr>
    <w:rPr>
      <w:rFonts w:ascii="PetersburgCTT" w:hAnsi="PetersburgCTT"/>
      <w:i/>
      <w:iCs/>
      <w:sz w:val="22"/>
      <w:szCs w:val="22"/>
      <w:lang w:eastAsia="en-US"/>
    </w:rPr>
  </w:style>
  <w:style w:type="paragraph" w:styleId="7">
    <w:name w:val="heading 7"/>
    <w:basedOn w:val="1"/>
    <w:next w:val="1"/>
    <w:link w:val="41"/>
    <w:qFormat/>
    <w:uiPriority w:val="99"/>
    <w:pPr>
      <w:tabs>
        <w:tab w:val="left" w:pos="0"/>
      </w:tabs>
      <w:spacing w:before="240" w:after="60"/>
      <w:ind w:left="5040" w:hanging="720"/>
      <w:jc w:val="both"/>
      <w:outlineLvl w:val="6"/>
    </w:pPr>
    <w:rPr>
      <w:rFonts w:ascii="PetersburgCTT" w:hAnsi="PetersburgCTT"/>
      <w:sz w:val="22"/>
      <w:szCs w:val="22"/>
      <w:lang w:eastAsia="en-US"/>
    </w:rPr>
  </w:style>
  <w:style w:type="paragraph" w:styleId="8">
    <w:name w:val="heading 8"/>
    <w:basedOn w:val="1"/>
    <w:next w:val="1"/>
    <w:link w:val="42"/>
    <w:qFormat/>
    <w:uiPriority w:val="99"/>
    <w:pPr>
      <w:tabs>
        <w:tab w:val="left" w:pos="0"/>
      </w:tabs>
      <w:spacing w:before="240" w:after="60"/>
      <w:ind w:left="5760" w:hanging="720"/>
      <w:jc w:val="both"/>
      <w:outlineLvl w:val="7"/>
    </w:pPr>
    <w:rPr>
      <w:rFonts w:ascii="PetersburgCTT" w:hAnsi="PetersburgCTT"/>
      <w:i/>
      <w:iCs/>
      <w:sz w:val="22"/>
      <w:szCs w:val="22"/>
      <w:lang w:eastAsia="en-US"/>
    </w:rPr>
  </w:style>
  <w:style w:type="paragraph" w:styleId="9">
    <w:name w:val="heading 9"/>
    <w:basedOn w:val="1"/>
    <w:next w:val="1"/>
    <w:link w:val="43"/>
    <w:qFormat/>
    <w:uiPriority w:val="99"/>
    <w:pPr>
      <w:tabs>
        <w:tab w:val="left" w:pos="0"/>
      </w:tabs>
      <w:spacing w:before="240" w:after="60"/>
      <w:ind w:left="6480" w:hanging="720"/>
      <w:jc w:val="both"/>
      <w:outlineLvl w:val="8"/>
    </w:pPr>
    <w:rPr>
      <w:rFonts w:ascii="PetersburgCTT" w:hAnsi="PetersburgCTT"/>
      <w:i/>
      <w:iCs/>
      <w:sz w:val="18"/>
      <w:szCs w:val="18"/>
      <w:lang w:eastAsia="en-US"/>
    </w:rPr>
  </w:style>
  <w:style w:type="character" w:default="1" w:styleId="25">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0">
    <w:name w:val="Balloon Text"/>
    <w:basedOn w:val="1"/>
    <w:link w:val="35"/>
    <w:unhideWhenUsed/>
    <w:uiPriority w:val="0"/>
    <w:rPr>
      <w:rFonts w:ascii="Tahoma" w:hAnsi="Tahoma" w:cs="Tahoma"/>
      <w:sz w:val="16"/>
      <w:szCs w:val="16"/>
    </w:rPr>
  </w:style>
  <w:style w:type="paragraph" w:styleId="11">
    <w:name w:val="Body Text Indent 3"/>
    <w:basedOn w:val="1"/>
    <w:link w:val="57"/>
    <w:uiPriority w:val="99"/>
    <w:pPr>
      <w:spacing w:after="120"/>
      <w:ind w:left="283"/>
      <w:jc w:val="both"/>
    </w:pPr>
    <w:rPr>
      <w:sz w:val="16"/>
      <w:szCs w:val="16"/>
    </w:rPr>
  </w:style>
  <w:style w:type="paragraph" w:styleId="12">
    <w:name w:val="caption"/>
    <w:basedOn w:val="1"/>
    <w:next w:val="1"/>
    <w:qFormat/>
    <w:uiPriority w:val="0"/>
    <w:pPr>
      <w:jc w:val="center"/>
    </w:pPr>
    <w:rPr>
      <w:b/>
      <w:bCs/>
      <w:sz w:val="40"/>
      <w:szCs w:val="40"/>
    </w:rPr>
  </w:style>
  <w:style w:type="paragraph" w:styleId="13">
    <w:name w:val="annotation text"/>
    <w:basedOn w:val="1"/>
    <w:link w:val="63"/>
    <w:semiHidden/>
    <w:uiPriority w:val="99"/>
    <w:pPr>
      <w:widowControl w:val="0"/>
    </w:pPr>
    <w:rPr>
      <w:sz w:val="20"/>
      <w:szCs w:val="20"/>
    </w:rPr>
  </w:style>
  <w:style w:type="paragraph" w:styleId="14">
    <w:name w:val="annotation subject"/>
    <w:basedOn w:val="13"/>
    <w:next w:val="13"/>
    <w:link w:val="65"/>
    <w:semiHidden/>
    <w:uiPriority w:val="99"/>
    <w:rPr>
      <w:b/>
      <w:bCs/>
    </w:rPr>
  </w:style>
  <w:style w:type="paragraph" w:styleId="15">
    <w:name w:val="Document Map"/>
    <w:basedOn w:val="1"/>
    <w:link w:val="47"/>
    <w:semiHidden/>
    <w:uiPriority w:val="99"/>
    <w:pPr>
      <w:widowControl w:val="0"/>
      <w:shd w:val="clear" w:color="auto" w:fill="000080"/>
    </w:pPr>
    <w:rPr>
      <w:sz w:val="2"/>
      <w:szCs w:val="2"/>
    </w:rPr>
  </w:style>
  <w:style w:type="paragraph" w:styleId="16">
    <w:name w:val="footnote text"/>
    <w:basedOn w:val="1"/>
    <w:link w:val="49"/>
    <w:uiPriority w:val="0"/>
    <w:pPr>
      <w:jc w:val="both"/>
    </w:pPr>
    <w:rPr>
      <w:sz w:val="20"/>
      <w:szCs w:val="20"/>
    </w:rPr>
  </w:style>
  <w:style w:type="paragraph" w:styleId="17">
    <w:name w:val="header"/>
    <w:basedOn w:val="1"/>
    <w:link w:val="44"/>
    <w:uiPriority w:val="99"/>
    <w:pPr>
      <w:widowControl w:val="0"/>
      <w:tabs>
        <w:tab w:val="center" w:pos="4153"/>
        <w:tab w:val="right" w:pos="8306"/>
      </w:tabs>
    </w:pPr>
    <w:rPr>
      <w:sz w:val="20"/>
      <w:szCs w:val="20"/>
    </w:rPr>
  </w:style>
  <w:style w:type="paragraph" w:styleId="18">
    <w:name w:val="Body Text"/>
    <w:basedOn w:val="1"/>
    <w:link w:val="51"/>
    <w:uiPriority w:val="0"/>
    <w:rPr>
      <w:sz w:val="20"/>
      <w:szCs w:val="20"/>
    </w:rPr>
  </w:style>
  <w:style w:type="paragraph" w:styleId="19">
    <w:name w:val="Body Text Indent"/>
    <w:basedOn w:val="1"/>
    <w:link w:val="59"/>
    <w:uiPriority w:val="99"/>
    <w:pPr>
      <w:widowControl w:val="0"/>
      <w:spacing w:after="120"/>
      <w:ind w:left="283"/>
    </w:pPr>
    <w:rPr>
      <w:sz w:val="20"/>
      <w:szCs w:val="20"/>
    </w:rPr>
  </w:style>
  <w:style w:type="paragraph" w:styleId="20">
    <w:name w:val="footer"/>
    <w:basedOn w:val="1"/>
    <w:link w:val="45"/>
    <w:uiPriority w:val="99"/>
    <w:pPr>
      <w:widowControl w:val="0"/>
      <w:tabs>
        <w:tab w:val="center" w:pos="4153"/>
        <w:tab w:val="right" w:pos="8306"/>
      </w:tabs>
    </w:pPr>
    <w:rPr>
      <w:sz w:val="20"/>
      <w:szCs w:val="20"/>
    </w:rPr>
  </w:style>
  <w:style w:type="paragraph" w:styleId="21">
    <w:name w:val="List"/>
    <w:basedOn w:val="18"/>
    <w:uiPriority w:val="0"/>
    <w:pPr>
      <w:suppressAutoHyphens/>
      <w:jc w:val="both"/>
    </w:pPr>
    <w:rPr>
      <w:rFonts w:cs="Mangal"/>
      <w:sz w:val="24"/>
      <w:szCs w:val="24"/>
      <w:lang w:eastAsia="zh-CN"/>
    </w:rPr>
  </w:style>
  <w:style w:type="paragraph" w:styleId="22">
    <w:name w:val="Normal (Web)"/>
    <w:basedOn w:val="1"/>
    <w:uiPriority w:val="0"/>
    <w:pPr>
      <w:spacing w:before="100" w:beforeAutospacing="1" w:after="100" w:afterAutospacing="1"/>
    </w:pPr>
    <w:rPr>
      <w:rFonts w:ascii="Arial Unicode MS" w:hAnsi="Arial Unicode MS" w:eastAsia="Arial Unicode MS" w:cs="Arial Unicode MS"/>
      <w:color w:val="000000"/>
    </w:rPr>
  </w:style>
  <w:style w:type="paragraph" w:styleId="23">
    <w:name w:val="Body Text Indent 2"/>
    <w:basedOn w:val="1"/>
    <w:link w:val="53"/>
    <w:uiPriority w:val="99"/>
    <w:pPr>
      <w:tabs>
        <w:tab w:val="left" w:pos="709"/>
      </w:tabs>
      <w:ind w:firstLine="567"/>
      <w:jc w:val="both"/>
    </w:pPr>
    <w:rPr>
      <w:sz w:val="20"/>
      <w:szCs w:val="20"/>
    </w:rPr>
  </w:style>
  <w:style w:type="paragraph" w:styleId="24">
    <w:name w:val="HTML Preformatted"/>
    <w:basedOn w:val="1"/>
    <w:link w:val="86"/>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26">
    <w:name w:val="footnote reference"/>
    <w:uiPriority w:val="0"/>
    <w:rPr>
      <w:vertAlign w:val="superscript"/>
    </w:rPr>
  </w:style>
  <w:style w:type="character" w:styleId="27">
    <w:name w:val="Emphasis"/>
    <w:qFormat/>
    <w:uiPriority w:val="0"/>
    <w:rPr>
      <w:rFonts w:cs="Times New Roman"/>
      <w:i/>
      <w:iCs/>
    </w:rPr>
  </w:style>
  <w:style w:type="character" w:styleId="28">
    <w:name w:val="Hyperlink"/>
    <w:basedOn w:val="25"/>
    <w:unhideWhenUsed/>
    <w:uiPriority w:val="0"/>
    <w:rPr>
      <w:color w:val="0000FF"/>
      <w:u w:val="single"/>
    </w:rPr>
  </w:style>
  <w:style w:type="character" w:styleId="29">
    <w:name w:val="page number"/>
    <w:uiPriority w:val="99"/>
  </w:style>
  <w:style w:type="table" w:styleId="31">
    <w:name w:val="Table Grid"/>
    <w:basedOn w:val="30"/>
    <w:uiPriority w:val="0"/>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2">
    <w:name w:val="Обычный1"/>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33">
    <w:name w:val="Заголовок 61"/>
    <w:basedOn w:val="32"/>
    <w:next w:val="32"/>
    <w:uiPriority w:val="0"/>
    <w:pPr>
      <w:keepNext/>
      <w:outlineLvl w:val="5"/>
    </w:pPr>
    <w:rPr>
      <w:b/>
    </w:rPr>
  </w:style>
  <w:style w:type="paragraph" w:customStyle="1" w:styleId="34">
    <w:name w:val="Комментарий"/>
    <w:basedOn w:val="1"/>
    <w:next w:val="1"/>
    <w:uiPriority w:val="0"/>
    <w:pPr>
      <w:widowControl w:val="0"/>
      <w:suppressAutoHyphens/>
      <w:autoSpaceDE w:val="0"/>
      <w:ind w:left="170"/>
      <w:jc w:val="both"/>
    </w:pPr>
    <w:rPr>
      <w:rFonts w:ascii="Arial" w:hAnsi="Arial" w:cs="Arial"/>
      <w:i/>
      <w:iCs/>
      <w:color w:val="800080"/>
      <w:sz w:val="20"/>
      <w:szCs w:val="20"/>
      <w:lang w:eastAsia="ar-SA"/>
    </w:rPr>
  </w:style>
  <w:style w:type="character" w:customStyle="1" w:styleId="35">
    <w:name w:val="Текст выноски Знак"/>
    <w:basedOn w:val="25"/>
    <w:link w:val="10"/>
    <w:uiPriority w:val="0"/>
    <w:rPr>
      <w:rFonts w:ascii="Tahoma" w:hAnsi="Tahoma" w:eastAsia="Times New Roman" w:cs="Tahoma"/>
      <w:sz w:val="16"/>
      <w:szCs w:val="16"/>
      <w:lang w:eastAsia="ru-RU"/>
    </w:rPr>
  </w:style>
  <w:style w:type="character" w:customStyle="1" w:styleId="36">
    <w:name w:val="Заголовок 1 Знак"/>
    <w:basedOn w:val="25"/>
    <w:link w:val="2"/>
    <w:qFormat/>
    <w:uiPriority w:val="0"/>
    <w:rPr>
      <w:rFonts w:ascii="Times New Roman" w:hAnsi="Times New Roman" w:eastAsia="Times New Roman" w:cs="Times New Roman"/>
      <w:sz w:val="24"/>
      <w:szCs w:val="24"/>
      <w:lang w:eastAsia="ru-RU"/>
    </w:rPr>
  </w:style>
  <w:style w:type="character" w:customStyle="1" w:styleId="37">
    <w:name w:val="Заголовок 2 Знак"/>
    <w:basedOn w:val="25"/>
    <w:link w:val="3"/>
    <w:uiPriority w:val="99"/>
    <w:rPr>
      <w:rFonts w:ascii="Times New Roman" w:hAnsi="Times New Roman" w:eastAsia="Times New Roman" w:cs="Times New Roman"/>
      <w:sz w:val="24"/>
      <w:szCs w:val="24"/>
      <w:lang w:eastAsia="ru-RU"/>
    </w:rPr>
  </w:style>
  <w:style w:type="character" w:customStyle="1" w:styleId="38">
    <w:name w:val="Заголовок 3 Знак"/>
    <w:basedOn w:val="25"/>
    <w:link w:val="4"/>
    <w:uiPriority w:val="0"/>
    <w:rPr>
      <w:rFonts w:ascii="Times New Roman" w:hAnsi="Times New Roman" w:eastAsia="Times New Roman" w:cs="Times New Roman"/>
      <w:b/>
      <w:bCs/>
      <w:sz w:val="40"/>
      <w:szCs w:val="40"/>
      <w:lang w:eastAsia="ru-RU"/>
    </w:rPr>
  </w:style>
  <w:style w:type="character" w:customStyle="1" w:styleId="39">
    <w:name w:val="Заголовок 4 Знак"/>
    <w:basedOn w:val="25"/>
    <w:link w:val="5"/>
    <w:uiPriority w:val="99"/>
    <w:rPr>
      <w:rFonts w:ascii="Times New Roman" w:hAnsi="Times New Roman" w:eastAsia="Times New Roman" w:cs="Times New Roman"/>
      <w:sz w:val="28"/>
      <w:szCs w:val="28"/>
      <w:lang w:eastAsia="ru-RU"/>
    </w:rPr>
  </w:style>
  <w:style w:type="character" w:customStyle="1" w:styleId="40">
    <w:name w:val="Заголовок 6 Знак"/>
    <w:basedOn w:val="25"/>
    <w:link w:val="6"/>
    <w:qFormat/>
    <w:uiPriority w:val="99"/>
    <w:rPr>
      <w:rFonts w:ascii="PetersburgCTT" w:hAnsi="PetersburgCTT" w:eastAsia="Times New Roman" w:cs="Times New Roman"/>
      <w:i/>
      <w:iCs/>
    </w:rPr>
  </w:style>
  <w:style w:type="character" w:customStyle="1" w:styleId="41">
    <w:name w:val="Заголовок 7 Знак"/>
    <w:basedOn w:val="25"/>
    <w:link w:val="7"/>
    <w:qFormat/>
    <w:uiPriority w:val="99"/>
    <w:rPr>
      <w:rFonts w:ascii="PetersburgCTT" w:hAnsi="PetersburgCTT" w:eastAsia="Times New Roman" w:cs="Times New Roman"/>
    </w:rPr>
  </w:style>
  <w:style w:type="character" w:customStyle="1" w:styleId="42">
    <w:name w:val="Заголовок 8 Знак"/>
    <w:basedOn w:val="25"/>
    <w:link w:val="8"/>
    <w:qFormat/>
    <w:uiPriority w:val="99"/>
    <w:rPr>
      <w:rFonts w:ascii="PetersburgCTT" w:hAnsi="PetersburgCTT" w:eastAsia="Times New Roman" w:cs="Times New Roman"/>
      <w:i/>
      <w:iCs/>
    </w:rPr>
  </w:style>
  <w:style w:type="character" w:customStyle="1" w:styleId="43">
    <w:name w:val="Заголовок 9 Знак"/>
    <w:basedOn w:val="25"/>
    <w:link w:val="9"/>
    <w:uiPriority w:val="99"/>
    <w:rPr>
      <w:rFonts w:ascii="PetersburgCTT" w:hAnsi="PetersburgCTT" w:eastAsia="Times New Roman" w:cs="Times New Roman"/>
      <w:i/>
      <w:iCs/>
      <w:sz w:val="18"/>
      <w:szCs w:val="18"/>
    </w:rPr>
  </w:style>
  <w:style w:type="character" w:customStyle="1" w:styleId="44">
    <w:name w:val="Верхний колонтитул Знак"/>
    <w:basedOn w:val="25"/>
    <w:link w:val="17"/>
    <w:uiPriority w:val="99"/>
    <w:rPr>
      <w:rFonts w:ascii="Times New Roman" w:hAnsi="Times New Roman" w:eastAsia="Times New Roman" w:cs="Times New Roman"/>
      <w:sz w:val="20"/>
      <w:szCs w:val="20"/>
      <w:lang w:eastAsia="ru-RU"/>
    </w:rPr>
  </w:style>
  <w:style w:type="character" w:customStyle="1" w:styleId="45">
    <w:name w:val="Нижний колонтитул Знак"/>
    <w:basedOn w:val="25"/>
    <w:link w:val="20"/>
    <w:uiPriority w:val="99"/>
    <w:rPr>
      <w:rFonts w:ascii="Times New Roman" w:hAnsi="Times New Roman" w:eastAsia="Times New Roman" w:cs="Times New Roman"/>
      <w:sz w:val="20"/>
      <w:szCs w:val="20"/>
      <w:lang w:eastAsia="ru-RU"/>
    </w:rPr>
  </w:style>
  <w:style w:type="character" w:customStyle="1" w:styleId="46">
    <w:name w:val="Document Map Char"/>
    <w:locked/>
    <w:uiPriority w:val="99"/>
    <w:rPr>
      <w:rFonts w:ascii="Tahoma" w:hAnsi="Tahoma" w:cs="Tahoma"/>
      <w:shd w:val="clear" w:color="auto" w:fill="000080"/>
    </w:rPr>
  </w:style>
  <w:style w:type="character" w:customStyle="1" w:styleId="47">
    <w:name w:val="Схема документа Знак"/>
    <w:basedOn w:val="25"/>
    <w:link w:val="15"/>
    <w:semiHidden/>
    <w:uiPriority w:val="99"/>
    <w:rPr>
      <w:rFonts w:ascii="Times New Roman" w:hAnsi="Times New Roman" w:eastAsia="Times New Roman" w:cs="Times New Roman"/>
      <w:sz w:val="2"/>
      <w:szCs w:val="2"/>
      <w:shd w:val="clear" w:color="auto" w:fill="000080"/>
      <w:lang w:eastAsia="ru-RU"/>
    </w:rPr>
  </w:style>
  <w:style w:type="character" w:customStyle="1" w:styleId="48">
    <w:name w:val="Footnote Text Char"/>
    <w:locked/>
    <w:uiPriority w:val="99"/>
  </w:style>
  <w:style w:type="character" w:customStyle="1" w:styleId="49">
    <w:name w:val="Текст сноски Знак"/>
    <w:basedOn w:val="25"/>
    <w:link w:val="16"/>
    <w:uiPriority w:val="0"/>
    <w:rPr>
      <w:rFonts w:ascii="Times New Roman" w:hAnsi="Times New Roman" w:eastAsia="Times New Roman" w:cs="Times New Roman"/>
      <w:sz w:val="20"/>
      <w:szCs w:val="20"/>
      <w:lang w:eastAsia="ru-RU"/>
    </w:rPr>
  </w:style>
  <w:style w:type="character" w:customStyle="1" w:styleId="50">
    <w:name w:val="Body Text Char"/>
    <w:locked/>
    <w:uiPriority w:val="99"/>
    <w:rPr>
      <w:b/>
      <w:bCs/>
      <w:sz w:val="40"/>
      <w:szCs w:val="40"/>
      <w:u w:val="single"/>
    </w:rPr>
  </w:style>
  <w:style w:type="character" w:customStyle="1" w:styleId="51">
    <w:name w:val="Основной текст Знак"/>
    <w:basedOn w:val="25"/>
    <w:link w:val="18"/>
    <w:uiPriority w:val="0"/>
    <w:rPr>
      <w:rFonts w:ascii="Times New Roman" w:hAnsi="Times New Roman" w:eastAsia="Times New Roman" w:cs="Times New Roman"/>
      <w:sz w:val="20"/>
      <w:szCs w:val="20"/>
      <w:lang w:eastAsia="ru-RU"/>
    </w:rPr>
  </w:style>
  <w:style w:type="character" w:customStyle="1" w:styleId="52">
    <w:name w:val="Body Text Indent 2 Char"/>
    <w:locked/>
    <w:uiPriority w:val="99"/>
    <w:rPr>
      <w:sz w:val="28"/>
      <w:szCs w:val="28"/>
    </w:rPr>
  </w:style>
  <w:style w:type="character" w:customStyle="1" w:styleId="53">
    <w:name w:val="Основной текст с отступом 2 Знак"/>
    <w:basedOn w:val="25"/>
    <w:link w:val="23"/>
    <w:uiPriority w:val="99"/>
    <w:rPr>
      <w:rFonts w:ascii="Times New Roman" w:hAnsi="Times New Roman" w:eastAsia="Times New Roman" w:cs="Times New Roman"/>
      <w:sz w:val="20"/>
      <w:szCs w:val="20"/>
      <w:lang w:eastAsia="ru-RU"/>
    </w:rPr>
  </w:style>
  <w:style w:type="paragraph" w:customStyle="1" w:styleId="54">
    <w:name w:val="Без интервала1"/>
    <w:link w:val="55"/>
    <w:uiPriority w:val="99"/>
    <w:pPr>
      <w:suppressAutoHyphens/>
      <w:spacing w:after="0" w:line="240" w:lineRule="auto"/>
    </w:pPr>
    <w:rPr>
      <w:rFonts w:ascii="Calibri" w:hAnsi="Calibri" w:eastAsia="Times New Roman" w:cs="Calibri"/>
      <w:sz w:val="22"/>
      <w:szCs w:val="22"/>
      <w:lang w:val="ru-RU" w:eastAsia="ar-SA" w:bidi="ar-SA"/>
    </w:rPr>
  </w:style>
  <w:style w:type="character" w:customStyle="1" w:styleId="55">
    <w:name w:val="Без интервала Знак"/>
    <w:link w:val="54"/>
    <w:locked/>
    <w:uiPriority w:val="99"/>
    <w:rPr>
      <w:rFonts w:ascii="Calibri" w:hAnsi="Calibri" w:eastAsia="Times New Roman" w:cs="Calibri"/>
      <w:lang w:eastAsia="ar-SA"/>
    </w:rPr>
  </w:style>
  <w:style w:type="character" w:customStyle="1" w:styleId="56">
    <w:name w:val="Body Text Indent 3 Char"/>
    <w:qFormat/>
    <w:locked/>
    <w:uiPriority w:val="99"/>
    <w:rPr>
      <w:sz w:val="16"/>
      <w:szCs w:val="16"/>
    </w:rPr>
  </w:style>
  <w:style w:type="character" w:customStyle="1" w:styleId="57">
    <w:name w:val="Основной текст с отступом 3 Знак"/>
    <w:basedOn w:val="25"/>
    <w:link w:val="11"/>
    <w:uiPriority w:val="99"/>
    <w:rPr>
      <w:rFonts w:ascii="Times New Roman" w:hAnsi="Times New Roman" w:eastAsia="Times New Roman" w:cs="Times New Roman"/>
      <w:sz w:val="16"/>
      <w:szCs w:val="16"/>
      <w:lang w:eastAsia="ru-RU"/>
    </w:rPr>
  </w:style>
  <w:style w:type="character" w:customStyle="1" w:styleId="58">
    <w:name w:val="Body Text Indent Char"/>
    <w:locked/>
    <w:uiPriority w:val="99"/>
  </w:style>
  <w:style w:type="character" w:customStyle="1" w:styleId="59">
    <w:name w:val="Основной текст с отступом Знак"/>
    <w:basedOn w:val="25"/>
    <w:link w:val="19"/>
    <w:uiPriority w:val="99"/>
    <w:rPr>
      <w:rFonts w:ascii="Times New Roman" w:hAnsi="Times New Roman" w:eastAsia="Times New Roman" w:cs="Times New Roman"/>
      <w:sz w:val="20"/>
      <w:szCs w:val="20"/>
      <w:lang w:eastAsia="ru-RU"/>
    </w:rPr>
  </w:style>
  <w:style w:type="character" w:customStyle="1" w:styleId="60">
    <w:name w:val="Основной текст (2)_"/>
    <w:link w:val="61"/>
    <w:locked/>
    <w:uiPriority w:val="99"/>
    <w:rPr>
      <w:sz w:val="26"/>
      <w:szCs w:val="26"/>
      <w:shd w:val="clear" w:color="auto" w:fill="FFFFFF"/>
    </w:rPr>
  </w:style>
  <w:style w:type="paragraph" w:customStyle="1" w:styleId="61">
    <w:name w:val="Основной текст (2)"/>
    <w:basedOn w:val="1"/>
    <w:link w:val="60"/>
    <w:uiPriority w:val="99"/>
    <w:pPr>
      <w:shd w:val="clear" w:color="auto" w:fill="FFFFFF"/>
      <w:spacing w:before="420" w:after="600" w:line="322" w:lineRule="exact"/>
      <w:jc w:val="center"/>
    </w:pPr>
    <w:rPr>
      <w:rFonts w:asciiTheme="minorHAnsi" w:hAnsiTheme="minorHAnsi" w:eastAsiaTheme="minorHAnsi" w:cstheme="minorBidi"/>
      <w:sz w:val="26"/>
      <w:szCs w:val="26"/>
      <w:shd w:val="clear" w:color="auto" w:fill="FFFFFF"/>
      <w:lang w:eastAsia="en-US"/>
    </w:rPr>
  </w:style>
  <w:style w:type="character" w:customStyle="1" w:styleId="62">
    <w:name w:val="Comment Text Char"/>
    <w:locked/>
    <w:uiPriority w:val="99"/>
  </w:style>
  <w:style w:type="character" w:customStyle="1" w:styleId="63">
    <w:name w:val="Текст примечания Знак"/>
    <w:basedOn w:val="25"/>
    <w:link w:val="13"/>
    <w:semiHidden/>
    <w:uiPriority w:val="99"/>
    <w:rPr>
      <w:rFonts w:ascii="Times New Roman" w:hAnsi="Times New Roman" w:eastAsia="Times New Roman" w:cs="Times New Roman"/>
      <w:sz w:val="20"/>
      <w:szCs w:val="20"/>
      <w:lang w:eastAsia="ru-RU"/>
    </w:rPr>
  </w:style>
  <w:style w:type="character" w:customStyle="1" w:styleId="64">
    <w:name w:val="Comment Subject Char"/>
    <w:locked/>
    <w:uiPriority w:val="99"/>
    <w:rPr>
      <w:b/>
      <w:bCs/>
    </w:rPr>
  </w:style>
  <w:style w:type="character" w:customStyle="1" w:styleId="65">
    <w:name w:val="Тема примечания Знак"/>
    <w:basedOn w:val="63"/>
    <w:link w:val="14"/>
    <w:semiHidden/>
    <w:uiPriority w:val="99"/>
    <w:rPr>
      <w:b/>
      <w:bCs/>
    </w:rPr>
  </w:style>
  <w:style w:type="paragraph" w:customStyle="1" w:styleId="66">
    <w:name w:val="ConsPlusNormal"/>
    <w:uiPriority w:val="0"/>
    <w:pPr>
      <w:widowControl w:val="0"/>
      <w:autoSpaceDE w:val="0"/>
      <w:autoSpaceDN w:val="0"/>
      <w:spacing w:after="0" w:line="240" w:lineRule="auto"/>
    </w:pPr>
    <w:rPr>
      <w:rFonts w:ascii="Calibri" w:hAnsi="Calibri" w:eastAsia="Times New Roman" w:cs="Calibri"/>
      <w:sz w:val="22"/>
      <w:szCs w:val="22"/>
      <w:lang w:val="ru-RU" w:eastAsia="ru-RU" w:bidi="ar-SA"/>
    </w:rPr>
  </w:style>
  <w:style w:type="character" w:customStyle="1" w:styleId="67">
    <w:name w:val="Основной шрифт абзаца1"/>
    <w:uiPriority w:val="0"/>
    <w:rPr>
      <w:sz w:val="20"/>
    </w:rPr>
  </w:style>
  <w:style w:type="paragraph" w:customStyle="1" w:styleId="68">
    <w:name w:val="ConsPlusTitle"/>
    <w:uiPriority w:val="0"/>
    <w:pPr>
      <w:autoSpaceDE w:val="0"/>
      <w:autoSpaceDN w:val="0"/>
      <w:adjustRightInd w:val="0"/>
      <w:spacing w:after="0" w:line="240" w:lineRule="auto"/>
    </w:pPr>
    <w:rPr>
      <w:rFonts w:ascii="Arial" w:hAnsi="Arial" w:eastAsia="Times New Roman" w:cs="Arial"/>
      <w:b/>
      <w:bCs/>
      <w:sz w:val="20"/>
      <w:szCs w:val="20"/>
      <w:lang w:val="ru-RU" w:eastAsia="ru-RU" w:bidi="ar-SA"/>
    </w:rPr>
  </w:style>
  <w:style w:type="paragraph" w:customStyle="1" w:styleId="69">
    <w:name w:val="ConsPlusNonformat"/>
    <w:uiPriority w:val="0"/>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paragraph" w:customStyle="1" w:styleId="70">
    <w:name w:val="ConsPlusCell"/>
    <w:uiPriority w:val="0"/>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71">
    <w:name w:val="ConsNormal"/>
    <w:uiPriority w:val="0"/>
    <w:pPr>
      <w:widowControl w:val="0"/>
      <w:autoSpaceDE w:val="0"/>
      <w:autoSpaceDN w:val="0"/>
      <w:adjustRightInd w:val="0"/>
      <w:spacing w:after="0" w:line="240" w:lineRule="auto"/>
      <w:ind w:right="19772" w:firstLine="720"/>
    </w:pPr>
    <w:rPr>
      <w:rFonts w:ascii="Arial" w:hAnsi="Arial" w:eastAsia="Times New Roman" w:cs="Arial"/>
      <w:sz w:val="20"/>
      <w:szCs w:val="20"/>
      <w:lang w:val="ru-RU" w:eastAsia="ru-RU" w:bidi="ar-SA"/>
    </w:rPr>
  </w:style>
  <w:style w:type="paragraph" w:customStyle="1" w:styleId="72">
    <w:name w:val="Обычный11"/>
    <w:uiPriority w:val="0"/>
    <w:pPr>
      <w:spacing w:after="0" w:line="240" w:lineRule="auto"/>
    </w:pPr>
    <w:rPr>
      <w:rFonts w:ascii="Times New Roman" w:hAnsi="Times New Roman" w:eastAsia="Times New Roman" w:cs="Times New Roman"/>
      <w:sz w:val="20"/>
      <w:szCs w:val="20"/>
      <w:lang w:val="ru-RU" w:eastAsia="ru-RU" w:bidi="ar-SA"/>
    </w:rPr>
  </w:style>
  <w:style w:type="paragraph" w:customStyle="1" w:styleId="73">
    <w:name w:val="Знак Знак2 Char Char Знак Знак Char Char Знак Знак Char Char Знак Знак Char Char Знак Знак Char Char Знак Знак Char Char Знак Знак Char Char Знак Знак Char Char"/>
    <w:basedOn w:val="1"/>
    <w:qFormat/>
    <w:uiPriority w:val="0"/>
    <w:pPr>
      <w:spacing w:before="100" w:beforeAutospacing="1" w:after="100" w:afterAutospacing="1"/>
    </w:pPr>
    <w:rPr>
      <w:rFonts w:ascii="Tahoma" w:hAnsi="Tahoma"/>
      <w:sz w:val="20"/>
      <w:szCs w:val="20"/>
      <w:lang w:val="en-US" w:eastAsia="en-US"/>
    </w:rPr>
  </w:style>
  <w:style w:type="paragraph" w:customStyle="1" w:styleId="74">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paragraph" w:customStyle="1" w:styleId="75">
    <w:name w:val="Знак Знак12 Знак Знак Знак Знак"/>
    <w:basedOn w:val="1"/>
    <w:qFormat/>
    <w:uiPriority w:val="0"/>
    <w:pPr>
      <w:widowControl w:val="0"/>
      <w:tabs>
        <w:tab w:val="left" w:pos="1315"/>
      </w:tabs>
      <w:adjustRightInd w:val="0"/>
      <w:spacing w:after="160" w:line="240" w:lineRule="exact"/>
      <w:ind w:left="1315" w:hanging="180"/>
      <w:jc w:val="center"/>
    </w:pPr>
    <w:rPr>
      <w:b/>
      <w:i/>
      <w:sz w:val="28"/>
      <w:szCs w:val="20"/>
      <w:lang w:val="en-GB" w:eastAsia="en-US"/>
    </w:rPr>
  </w:style>
  <w:style w:type="paragraph" w:styleId="76">
    <w:name w:val="List Paragraph"/>
    <w:basedOn w:val="1"/>
    <w:qFormat/>
    <w:uiPriority w:val="34"/>
    <w:pPr>
      <w:widowControl w:val="0"/>
      <w:ind w:left="720"/>
      <w:contextualSpacing/>
    </w:pPr>
    <w:rPr>
      <w:sz w:val="20"/>
      <w:szCs w:val="20"/>
    </w:rPr>
  </w:style>
  <w:style w:type="character" w:customStyle="1" w:styleId="77">
    <w:name w:val="Основной текст_"/>
    <w:basedOn w:val="25"/>
    <w:link w:val="78"/>
    <w:uiPriority w:val="0"/>
    <w:rPr>
      <w:sz w:val="27"/>
      <w:szCs w:val="27"/>
      <w:shd w:val="clear" w:color="auto" w:fill="FFFFFF"/>
    </w:rPr>
  </w:style>
  <w:style w:type="paragraph" w:customStyle="1" w:styleId="78">
    <w:name w:val="Основной текст2"/>
    <w:basedOn w:val="1"/>
    <w:link w:val="77"/>
    <w:uiPriority w:val="0"/>
    <w:pPr>
      <w:widowControl w:val="0"/>
      <w:shd w:val="clear" w:color="auto" w:fill="FFFFFF"/>
      <w:spacing w:before="720" w:line="384" w:lineRule="exact"/>
      <w:ind w:hanging="460"/>
      <w:jc w:val="both"/>
    </w:pPr>
    <w:rPr>
      <w:rFonts w:asciiTheme="minorHAnsi" w:hAnsiTheme="minorHAnsi" w:eastAsiaTheme="minorHAnsi" w:cstheme="minorBidi"/>
      <w:sz w:val="27"/>
      <w:szCs w:val="27"/>
      <w:lang w:eastAsia="en-US"/>
    </w:rPr>
  </w:style>
  <w:style w:type="character" w:customStyle="1" w:styleId="79">
    <w:name w:val="Основной текст Exact"/>
    <w:basedOn w:val="25"/>
    <w:uiPriority w:val="0"/>
    <w:rPr>
      <w:rFonts w:ascii="Times New Roman" w:hAnsi="Times New Roman" w:eastAsia="Times New Roman" w:cs="Times New Roman"/>
      <w:sz w:val="26"/>
      <w:szCs w:val="26"/>
      <w:u w:val="none"/>
    </w:rPr>
  </w:style>
  <w:style w:type="paragraph" w:customStyle="1" w:styleId="80">
    <w:name w:val="Основной текст 31"/>
    <w:basedOn w:val="1"/>
    <w:uiPriority w:val="0"/>
    <w:pPr>
      <w:suppressAutoHyphens/>
      <w:spacing w:after="120" w:line="100" w:lineRule="atLeast"/>
    </w:pPr>
    <w:rPr>
      <w:kern w:val="1"/>
      <w:sz w:val="16"/>
      <w:szCs w:val="16"/>
      <w:lang w:eastAsia="zh-CN"/>
    </w:rPr>
  </w:style>
  <w:style w:type="paragraph" w:customStyle="1" w:styleId="81">
    <w:name w:val="Текст в заданном формате"/>
    <w:basedOn w:val="1"/>
    <w:uiPriority w:val="0"/>
    <w:pPr>
      <w:suppressAutoHyphens/>
    </w:pPr>
    <w:rPr>
      <w:rFonts w:ascii="Courier New" w:hAnsi="Courier New" w:eastAsia="NSimSun" w:cs="Courier New"/>
      <w:kern w:val="1"/>
      <w:sz w:val="20"/>
      <w:szCs w:val="20"/>
      <w:lang w:eastAsia="zh-CN"/>
    </w:rPr>
  </w:style>
  <w:style w:type="paragraph" w:customStyle="1" w:styleId="82">
    <w:name w:val="Обычный2"/>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83">
    <w:name w:val="Заголовок 611"/>
    <w:basedOn w:val="82"/>
    <w:next w:val="82"/>
    <w:uiPriority w:val="0"/>
    <w:pPr>
      <w:keepNext/>
      <w:outlineLvl w:val="5"/>
    </w:pPr>
    <w:rPr>
      <w:b/>
    </w:rPr>
  </w:style>
  <w:style w:type="paragraph" w:styleId="84">
    <w:name w:val="No Spacing"/>
    <w:qFormat/>
    <w:uiPriority w:val="1"/>
    <w:pPr>
      <w:widowControl w:val="0"/>
      <w:suppressAutoHyphens/>
      <w:autoSpaceDE w:val="0"/>
      <w:spacing w:after="0" w:line="240" w:lineRule="auto"/>
      <w:ind w:firstLine="720"/>
      <w:jc w:val="both"/>
    </w:pPr>
    <w:rPr>
      <w:rFonts w:ascii="Arial" w:hAnsi="Arial" w:eastAsia="Times New Roman" w:cs="Arial"/>
      <w:sz w:val="20"/>
      <w:szCs w:val="20"/>
      <w:lang w:val="ru-RU" w:eastAsia="ar-SA" w:bidi="ar-SA"/>
    </w:rPr>
  </w:style>
  <w:style w:type="paragraph" w:customStyle="1" w:styleId="85">
    <w:name w:val="Основной текст 21"/>
    <w:basedOn w:val="1"/>
    <w:uiPriority w:val="0"/>
    <w:pPr>
      <w:widowControl w:val="0"/>
      <w:suppressAutoHyphens/>
      <w:autoSpaceDE w:val="0"/>
      <w:ind w:firstLine="720"/>
      <w:jc w:val="both"/>
    </w:pPr>
    <w:rPr>
      <w:rFonts w:ascii="Arial" w:hAnsi="Arial" w:cs="Arial"/>
      <w:sz w:val="22"/>
      <w:szCs w:val="22"/>
      <w:lang w:eastAsia="ar-SA"/>
    </w:rPr>
  </w:style>
  <w:style w:type="character" w:customStyle="1" w:styleId="86">
    <w:name w:val="Стандартный HTML Знак"/>
    <w:basedOn w:val="25"/>
    <w:link w:val="24"/>
    <w:uiPriority w:val="99"/>
    <w:rPr>
      <w:rFonts w:ascii="Courier New" w:hAnsi="Courier New" w:eastAsia="Times New Roman" w:cs="Courier New"/>
      <w:sz w:val="20"/>
      <w:szCs w:val="20"/>
      <w:lang w:eastAsia="ru-RU"/>
    </w:rPr>
  </w:style>
  <w:style w:type="paragraph" w:customStyle="1" w:styleId="87">
    <w:name w:val="Текст1"/>
    <w:basedOn w:val="1"/>
    <w:uiPriority w:val="0"/>
    <w:pPr>
      <w:suppressAutoHyphens/>
    </w:pPr>
    <w:rPr>
      <w:rFonts w:ascii="Courier New" w:hAnsi="Courier New" w:cs="Courier New"/>
      <w:sz w:val="20"/>
      <w:szCs w:val="20"/>
      <w:lang w:eastAsia="zh-CN"/>
    </w:rPr>
  </w:style>
  <w:style w:type="paragraph" w:customStyle="1" w:styleId="88">
    <w:name w:val="p13"/>
    <w:basedOn w:val="1"/>
    <w:uiPriority w:val="0"/>
    <w:pPr>
      <w:spacing w:before="100" w:beforeAutospacing="1" w:after="100" w:afterAutospacing="1"/>
    </w:pPr>
  </w:style>
  <w:style w:type="character" w:customStyle="1" w:styleId="89">
    <w:name w:val="s5"/>
    <w:basedOn w:val="25"/>
    <w:uiPriority w:val="0"/>
  </w:style>
  <w:style w:type="character" w:customStyle="1" w:styleId="90">
    <w:name w:val="s1"/>
    <w:basedOn w:val="25"/>
    <w:uiPriority w:val="0"/>
  </w:style>
  <w:style w:type="paragraph" w:customStyle="1" w:styleId="91">
    <w:name w:val="p8"/>
    <w:basedOn w:val="1"/>
    <w:uiPriority w:val="0"/>
    <w:pPr>
      <w:spacing w:before="100" w:beforeAutospacing="1" w:after="100" w:afterAutospacing="1"/>
    </w:pPr>
  </w:style>
  <w:style w:type="character" w:customStyle="1" w:styleId="92">
    <w:name w:val="s4"/>
    <w:basedOn w:val="25"/>
    <w:uiPriority w:val="0"/>
  </w:style>
  <w:style w:type="paragraph" w:customStyle="1" w:styleId="93">
    <w:name w:val="Абзац списка1"/>
    <w:basedOn w:val="1"/>
    <w:uiPriority w:val="0"/>
    <w:pPr>
      <w:spacing w:after="200" w:line="276" w:lineRule="auto"/>
      <w:ind w:left="720"/>
    </w:pPr>
    <w:rPr>
      <w:rFonts w:ascii="Calibri" w:hAnsi="Calibri" w:cs="Calibri"/>
      <w:sz w:val="22"/>
      <w:szCs w:val="22"/>
      <w:lang w:eastAsia="zh-CN"/>
    </w:rPr>
  </w:style>
  <w:style w:type="paragraph" w:customStyle="1" w:styleId="94">
    <w:name w:val="Объект"/>
    <w:basedOn w:val="1"/>
    <w:next w:val="1"/>
    <w:uiPriority w:val="0"/>
    <w:pPr>
      <w:widowControl w:val="0"/>
      <w:suppressAutoHyphens/>
      <w:autoSpaceDE w:val="0"/>
      <w:ind w:firstLine="720"/>
      <w:jc w:val="both"/>
    </w:pPr>
    <w:rPr>
      <w:rFonts w:ascii="Arial" w:hAnsi="Arial" w:cs="Arial"/>
      <w:sz w:val="20"/>
      <w:szCs w:val="20"/>
      <w:lang w:eastAsia="ar-SA"/>
    </w:rPr>
  </w:style>
  <w:style w:type="paragraph" w:customStyle="1" w:styleId="95">
    <w:name w:val="Таблицы (моноширинный)"/>
    <w:basedOn w:val="1"/>
    <w:next w:val="1"/>
    <w:uiPriority w:val="0"/>
    <w:pPr>
      <w:widowControl w:val="0"/>
      <w:suppressAutoHyphens/>
      <w:autoSpaceDE w:val="0"/>
      <w:jc w:val="both"/>
    </w:pPr>
    <w:rPr>
      <w:rFonts w:ascii="Courier New" w:hAnsi="Courier New" w:cs="Courier New"/>
      <w:sz w:val="20"/>
      <w:szCs w:val="20"/>
      <w:lang w:eastAsia="ar-SA"/>
    </w:rPr>
  </w:style>
  <w:style w:type="paragraph" w:customStyle="1" w:styleId="96">
    <w:name w:val="Основной текст с отступом 21"/>
    <w:basedOn w:val="1"/>
    <w:uiPriority w:val="0"/>
    <w:pPr>
      <w:widowControl w:val="0"/>
      <w:suppressAutoHyphens/>
      <w:autoSpaceDE w:val="0"/>
      <w:ind w:firstLine="720"/>
      <w:jc w:val="both"/>
    </w:pPr>
    <w:rPr>
      <w:rFonts w:ascii="Arial" w:hAnsi="Arial" w:cs="Arial"/>
      <w:sz w:val="28"/>
      <w:szCs w:val="28"/>
      <w:lang w:eastAsia="ar-SA"/>
    </w:rPr>
  </w:style>
  <w:style w:type="character" w:customStyle="1" w:styleId="97">
    <w:name w:val="Основной шрифт абзаца2"/>
    <w:uiPriority w:val="0"/>
  </w:style>
  <w:style w:type="character" w:customStyle="1" w:styleId="98">
    <w:name w:val="Absatz-Standardschriftart"/>
    <w:uiPriority w:val="0"/>
  </w:style>
  <w:style w:type="character" w:customStyle="1" w:styleId="99">
    <w:name w:val="WW-Absatz-Standardschriftart"/>
    <w:uiPriority w:val="0"/>
  </w:style>
  <w:style w:type="character" w:customStyle="1" w:styleId="100">
    <w:name w:val="WW-Absatz-Standardschriftart1"/>
    <w:qFormat/>
    <w:uiPriority w:val="0"/>
  </w:style>
  <w:style w:type="character" w:customStyle="1" w:styleId="101">
    <w:name w:val="WW-Absatz-Standardschriftart11"/>
    <w:qFormat/>
    <w:uiPriority w:val="0"/>
  </w:style>
  <w:style w:type="character" w:customStyle="1" w:styleId="102">
    <w:name w:val="WW-Absatz-Standardschriftart111"/>
    <w:qFormat/>
    <w:uiPriority w:val="0"/>
  </w:style>
  <w:style w:type="character" w:customStyle="1" w:styleId="103">
    <w:name w:val="WW-Absatz-Standardschriftart1111"/>
    <w:qFormat/>
    <w:uiPriority w:val="0"/>
  </w:style>
  <w:style w:type="character" w:customStyle="1" w:styleId="104">
    <w:name w:val="Цветовое выделение"/>
    <w:qFormat/>
    <w:uiPriority w:val="0"/>
    <w:rPr>
      <w:b/>
      <w:bCs/>
      <w:color w:val="000080"/>
      <w:sz w:val="26"/>
      <w:szCs w:val="26"/>
    </w:rPr>
  </w:style>
  <w:style w:type="character" w:customStyle="1" w:styleId="105">
    <w:name w:val="Не вступил в силу"/>
    <w:basedOn w:val="104"/>
    <w:qFormat/>
    <w:uiPriority w:val="0"/>
    <w:rPr>
      <w:color w:val="008080"/>
    </w:rPr>
  </w:style>
  <w:style w:type="paragraph" w:customStyle="1" w:styleId="106">
    <w:name w:val="Заголовок"/>
    <w:basedOn w:val="1"/>
    <w:next w:val="18"/>
    <w:uiPriority w:val="0"/>
    <w:pPr>
      <w:suppressAutoHyphens/>
      <w:jc w:val="center"/>
    </w:pPr>
    <w:rPr>
      <w:b/>
      <w:bCs/>
      <w:sz w:val="32"/>
      <w:lang w:eastAsia="zh-CN"/>
    </w:rPr>
  </w:style>
  <w:style w:type="paragraph" w:customStyle="1" w:styleId="107">
    <w:name w:val="Указатель2"/>
    <w:basedOn w:val="1"/>
    <w:uiPriority w:val="0"/>
    <w:pPr>
      <w:suppressLineNumbers/>
      <w:suppressAutoHyphens/>
    </w:pPr>
    <w:rPr>
      <w:rFonts w:cs="Mangal"/>
      <w:lang w:eastAsia="zh-CN"/>
    </w:rPr>
  </w:style>
  <w:style w:type="paragraph" w:customStyle="1" w:styleId="108">
    <w:name w:val="Название объекта1"/>
    <w:basedOn w:val="1"/>
    <w:uiPriority w:val="0"/>
    <w:pPr>
      <w:suppressLineNumbers/>
      <w:suppressAutoHyphens/>
      <w:spacing w:before="120" w:after="120"/>
    </w:pPr>
    <w:rPr>
      <w:rFonts w:cs="Mangal"/>
      <w:i/>
      <w:iCs/>
      <w:lang w:eastAsia="zh-CN"/>
    </w:rPr>
  </w:style>
  <w:style w:type="paragraph" w:customStyle="1" w:styleId="109">
    <w:name w:val="Указатель1"/>
    <w:basedOn w:val="1"/>
    <w:qFormat/>
    <w:uiPriority w:val="0"/>
    <w:pPr>
      <w:suppressLineNumbers/>
      <w:suppressAutoHyphens/>
    </w:pPr>
    <w:rPr>
      <w:rFonts w:cs="Mangal"/>
      <w:lang w:eastAsia="zh-CN"/>
    </w:rPr>
  </w:style>
  <w:style w:type="paragraph" w:customStyle="1" w:styleId="110">
    <w:name w:val="Текст (лев. подпись)"/>
    <w:basedOn w:val="1"/>
    <w:next w:val="1"/>
    <w:qFormat/>
    <w:uiPriority w:val="0"/>
    <w:pPr>
      <w:widowControl w:val="0"/>
      <w:suppressAutoHyphens/>
      <w:autoSpaceDE w:val="0"/>
    </w:pPr>
    <w:rPr>
      <w:rFonts w:ascii="Arial" w:hAnsi="Arial" w:cs="Arial"/>
      <w:sz w:val="26"/>
      <w:szCs w:val="26"/>
      <w:lang w:eastAsia="zh-CN"/>
    </w:rPr>
  </w:style>
  <w:style w:type="paragraph" w:customStyle="1" w:styleId="111">
    <w:name w:val="Текст (прав. подпись)"/>
    <w:basedOn w:val="1"/>
    <w:next w:val="1"/>
    <w:qFormat/>
    <w:uiPriority w:val="0"/>
    <w:pPr>
      <w:widowControl w:val="0"/>
      <w:suppressAutoHyphens/>
      <w:autoSpaceDE w:val="0"/>
      <w:jc w:val="right"/>
    </w:pPr>
    <w:rPr>
      <w:rFonts w:ascii="Arial" w:hAnsi="Arial" w:cs="Arial"/>
      <w:sz w:val="26"/>
      <w:szCs w:val="26"/>
      <w:lang w:eastAsia="zh-CN"/>
    </w:rPr>
  </w:style>
  <w:style w:type="paragraph" w:customStyle="1" w:styleId="112">
    <w:name w:val="Прижатый влево"/>
    <w:basedOn w:val="1"/>
    <w:next w:val="1"/>
    <w:qFormat/>
    <w:uiPriority w:val="0"/>
    <w:pPr>
      <w:widowControl w:val="0"/>
      <w:suppressAutoHyphens/>
      <w:autoSpaceDE w:val="0"/>
    </w:pPr>
    <w:rPr>
      <w:rFonts w:ascii="Arial" w:hAnsi="Arial" w:cs="Arial"/>
      <w:sz w:val="26"/>
      <w:szCs w:val="26"/>
      <w:lang w:eastAsia="zh-CN"/>
    </w:rPr>
  </w:style>
  <w:style w:type="paragraph" w:customStyle="1" w:styleId="113">
    <w:name w:val="Содержимое таблицы"/>
    <w:basedOn w:val="1"/>
    <w:qFormat/>
    <w:uiPriority w:val="0"/>
    <w:pPr>
      <w:suppressLineNumbers/>
      <w:suppressAutoHyphens/>
    </w:pPr>
    <w:rPr>
      <w:lang w:eastAsia="zh-CN"/>
    </w:rPr>
  </w:style>
  <w:style w:type="paragraph" w:customStyle="1" w:styleId="114">
    <w:name w:val="Заголовок таблицы"/>
    <w:basedOn w:val="113"/>
    <w:qFormat/>
    <w:uiPriority w:val="0"/>
    <w:pPr>
      <w:jc w:val="center"/>
    </w:pPr>
    <w:rPr>
      <w:b/>
      <w:bCs/>
    </w:rPr>
  </w:style>
  <w:style w:type="paragraph" w:customStyle="1" w:styleId="115">
    <w:name w:val="Содержимое врезки"/>
    <w:basedOn w:val="18"/>
    <w:uiPriority w:val="0"/>
    <w:pPr>
      <w:suppressAutoHyphens/>
      <w:jc w:val="both"/>
    </w:pPr>
    <w:rPr>
      <w:sz w:val="24"/>
      <w:szCs w:val="24"/>
      <w:lang w:eastAsia="zh-CN"/>
    </w:rPr>
  </w:style>
  <w:style w:type="paragraph" w:customStyle="1" w:styleId="116">
    <w:name w:val="ConsPlusDocList"/>
    <w:next w:val="1"/>
    <w:uiPriority w:val="0"/>
    <w:pPr>
      <w:widowControl w:val="0"/>
      <w:suppressAutoHyphens/>
      <w:autoSpaceDE w:val="0"/>
      <w:spacing w:after="0" w:line="240" w:lineRule="auto"/>
    </w:pPr>
    <w:rPr>
      <w:rFonts w:ascii="Arial" w:hAnsi="Arial" w:eastAsia="Arial" w:cs="Arial"/>
      <w:kern w:val="1"/>
      <w:sz w:val="20"/>
      <w:szCs w:val="20"/>
      <w:lang w:val="ru-RU" w:eastAsia="zh-CN" w:bidi="hi-IN"/>
    </w:rPr>
  </w:style>
  <w:style w:type="character" w:customStyle="1" w:styleId="117">
    <w:name w:val="Font Style18"/>
    <w:basedOn w:val="25"/>
    <w:uiPriority w:val="0"/>
    <w:rPr>
      <w:rFonts w:ascii="Times New Roman" w:hAnsi="Times New Roman" w:cs="Times New Roman"/>
      <w:spacing w:val="10"/>
      <w:sz w:val="20"/>
      <w:szCs w:val="20"/>
    </w:rPr>
  </w:style>
  <w:style w:type="character" w:customStyle="1" w:styleId="118">
    <w:name w:val="Font Style22"/>
    <w:basedOn w:val="25"/>
    <w:uiPriority w:val="0"/>
    <w:rPr>
      <w:rFonts w:ascii="Times New Roman" w:hAnsi="Times New Roman" w:cs="Times New Roman"/>
      <w:b/>
      <w:bCs/>
      <w:sz w:val="26"/>
      <w:szCs w:val="2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A5713-008B-4AF6-A46E-18D21D40292B}">
  <ds:schemaRefs/>
</ds:datastoreItem>
</file>

<file path=docProps/app.xml><?xml version="1.0" encoding="utf-8"?>
<Properties xmlns="http://schemas.openxmlformats.org/officeDocument/2006/extended-properties" xmlns:vt="http://schemas.openxmlformats.org/officeDocument/2006/docPropsVTypes">
  <Template>Normal</Template>
  <Pages>1</Pages>
  <Words>5009</Words>
  <Characters>28556</Characters>
  <Lines>237</Lines>
  <Paragraphs>66</Paragraphs>
  <TotalTime>7</TotalTime>
  <ScaleCrop>false</ScaleCrop>
  <LinksUpToDate>false</LinksUpToDate>
  <CharactersWithSpaces>33499</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2020-01-09T07:11:00Z</dcterms:created>
  <dc:creator>Кривошеевка</dc:creator>
  <cp:lastModifiedBy>Н. Пятина</cp:lastModifiedBy>
  <cp:lastPrinted>2020-07-30T13:14:00Z</cp:lastPrinted>
  <dcterms:modified xsi:type="dcterms:W3CDTF">2021-03-10T07:11:22Z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