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rPr>
          <w:sz w:val="28"/>
          <w:szCs w:val="28"/>
        </w:rPr>
      </w:pPr>
      <w:r>
        <w:rPr>
          <w:sz w:val="28"/>
          <w:szCs w:val="28"/>
        </w:rPr>
        <w:t xml:space="preserve">                                                           </w:t>
      </w:r>
      <w:r>
        <w:rPr>
          <w:sz w:val="28"/>
          <w:szCs w:val="28"/>
        </w:rPr>
        <w:drawing>
          <wp:inline distT="0" distB="0" distL="0" distR="0">
            <wp:extent cx="723900" cy="952500"/>
            <wp:effectExtent l="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 ППО (вектор) черная"/>
                    <pic:cNvPicPr>
                      <a:picLocks noChangeAspect="1" noChangeArrowheads="1"/>
                    </pic:cNvPicPr>
                  </pic:nvPicPr>
                  <pic:blipFill>
                    <a:blip r:embed="rId8" cstate="print"/>
                    <a:srcRect/>
                    <a:stretch>
                      <a:fillRect/>
                    </a:stretch>
                  </pic:blipFill>
                  <pic:spPr>
                    <a:xfrm>
                      <a:off x="0" y="0"/>
                      <a:ext cx="723900" cy="952500"/>
                    </a:xfrm>
                    <a:prstGeom prst="rect">
                      <a:avLst/>
                    </a:prstGeom>
                    <a:noFill/>
                    <a:ln w="9525">
                      <a:noFill/>
                      <a:miter lim="800000"/>
                      <a:headEnd/>
                      <a:tailEnd/>
                    </a:ln>
                  </pic:spPr>
                </pic:pic>
              </a:graphicData>
            </a:graphic>
          </wp:inline>
        </w:drawing>
      </w:r>
      <w:r>
        <w:rPr>
          <w:sz w:val="28"/>
          <w:szCs w:val="28"/>
        </w:rPr>
        <w:t xml:space="preserve">        </w:t>
      </w:r>
    </w:p>
    <w:p>
      <w:pPr>
        <w:pStyle w:val="33"/>
        <w:rPr>
          <w:b w:val="0"/>
          <w:sz w:val="28"/>
          <w:szCs w:val="28"/>
        </w:rPr>
      </w:pPr>
      <w:r>
        <w:rPr>
          <w:sz w:val="28"/>
          <w:szCs w:val="28"/>
        </w:rPr>
        <w:t xml:space="preserve">                                                                          </w:t>
      </w:r>
    </w:p>
    <w:p>
      <w:pPr>
        <w:pStyle w:val="32"/>
        <w:rPr>
          <w:sz w:val="28"/>
          <w:szCs w:val="28"/>
        </w:rPr>
      </w:pPr>
    </w:p>
    <w:p>
      <w:pPr>
        <w:jc w:val="center"/>
        <w:rPr>
          <w:b/>
          <w:sz w:val="28"/>
          <w:szCs w:val="28"/>
        </w:rPr>
      </w:pPr>
      <w:r>
        <w:rPr>
          <w:b/>
          <w:sz w:val="28"/>
          <w:szCs w:val="28"/>
        </w:rPr>
        <w:t>АДМИНИСТРАЦИЯ</w:t>
      </w:r>
    </w:p>
    <w:p>
      <w:pPr>
        <w:jc w:val="center"/>
        <w:rPr>
          <w:b/>
          <w:sz w:val="28"/>
          <w:szCs w:val="28"/>
        </w:rPr>
      </w:pPr>
      <w:r>
        <w:rPr>
          <w:b/>
          <w:sz w:val="28"/>
          <w:szCs w:val="28"/>
        </w:rPr>
        <w:t>КРИВОШЕЕВСКОГО  СЕЛЬСОВЕТА</w:t>
      </w:r>
    </w:p>
    <w:p>
      <w:pPr>
        <w:jc w:val="center"/>
        <w:rPr>
          <w:b/>
          <w:sz w:val="28"/>
          <w:szCs w:val="28"/>
        </w:rPr>
      </w:pPr>
      <w:r>
        <w:rPr>
          <w:b/>
          <w:sz w:val="28"/>
          <w:szCs w:val="28"/>
        </w:rPr>
        <w:t>НИЖНЕЛОМОВСКОГО  РАЙОНА</w:t>
      </w:r>
    </w:p>
    <w:p>
      <w:pPr>
        <w:jc w:val="center"/>
        <w:rPr>
          <w:b/>
          <w:sz w:val="28"/>
          <w:szCs w:val="28"/>
        </w:rPr>
      </w:pPr>
      <w:r>
        <w:rPr>
          <w:b/>
          <w:sz w:val="28"/>
          <w:szCs w:val="28"/>
        </w:rPr>
        <w:t>ПЕНЗЕНСКОЙ  ОБЛАСТИ</w:t>
      </w:r>
    </w:p>
    <w:p>
      <w:pPr>
        <w:pStyle w:val="32"/>
        <w:jc w:val="center"/>
        <w:rPr>
          <w:b/>
          <w:sz w:val="28"/>
          <w:szCs w:val="28"/>
        </w:rPr>
      </w:pPr>
    </w:p>
    <w:p>
      <w:pPr>
        <w:pStyle w:val="32"/>
        <w:jc w:val="center"/>
        <w:rPr>
          <w:b/>
          <w:sz w:val="28"/>
          <w:szCs w:val="28"/>
        </w:rPr>
      </w:pPr>
      <w:r>
        <w:rPr>
          <w:b/>
          <w:sz w:val="28"/>
          <w:szCs w:val="28"/>
        </w:rPr>
        <w:t>ПОСТАНОВЛЕНИЕ</w:t>
      </w:r>
    </w:p>
    <w:p>
      <w:pPr>
        <w:rPr>
          <w:b/>
          <w:sz w:val="28"/>
          <w:szCs w:val="28"/>
        </w:rPr>
      </w:pPr>
    </w:p>
    <w:p>
      <w:pPr>
        <w:jc w:val="center"/>
        <w:rPr>
          <w:sz w:val="28"/>
          <w:szCs w:val="28"/>
          <w:lang w:val="ru-RU"/>
        </w:rPr>
      </w:pPr>
      <w:r>
        <w:rPr>
          <w:sz w:val="28"/>
          <w:szCs w:val="28"/>
        </w:rPr>
        <w:t xml:space="preserve">  </w:t>
      </w:r>
      <w:r>
        <w:rPr>
          <w:sz w:val="24"/>
          <w:szCs w:val="24"/>
        </w:rPr>
        <w:t>от  2</w:t>
      </w:r>
      <w:r>
        <w:rPr>
          <w:sz w:val="24"/>
          <w:szCs w:val="24"/>
          <w:lang w:val="ru-RU"/>
        </w:rPr>
        <w:t>5</w:t>
      </w:r>
      <w:r>
        <w:rPr>
          <w:sz w:val="24"/>
          <w:szCs w:val="24"/>
        </w:rPr>
        <w:t>.</w:t>
      </w:r>
      <w:r>
        <w:rPr>
          <w:sz w:val="24"/>
          <w:szCs w:val="24"/>
          <w:lang w:val="ru-RU"/>
        </w:rPr>
        <w:t>12</w:t>
      </w:r>
      <w:r>
        <w:rPr>
          <w:sz w:val="24"/>
          <w:szCs w:val="24"/>
        </w:rPr>
        <w:t xml:space="preserve">.2020 № </w:t>
      </w:r>
      <w:r>
        <w:rPr>
          <w:sz w:val="24"/>
          <w:szCs w:val="24"/>
          <w:lang w:val="ru-RU"/>
        </w:rPr>
        <w:t>281</w:t>
      </w:r>
      <w:r>
        <w:rPr>
          <w:sz w:val="24"/>
          <w:szCs w:val="24"/>
        </w:rPr>
        <w:t>/</w:t>
      </w:r>
      <w:r>
        <w:rPr>
          <w:sz w:val="24"/>
          <w:szCs w:val="24"/>
          <w:lang w:val="ru-RU"/>
        </w:rPr>
        <w:t>4</w:t>
      </w:r>
    </w:p>
    <w:p>
      <w:pPr>
        <w:jc w:val="center"/>
        <w:rPr>
          <w:sz w:val="24"/>
          <w:szCs w:val="24"/>
        </w:rPr>
      </w:pPr>
      <w:r>
        <w:rPr>
          <w:sz w:val="24"/>
          <w:szCs w:val="24"/>
        </w:rPr>
        <w:t>с. Кривошеевка</w:t>
      </w:r>
    </w:p>
    <w:p>
      <w:pPr>
        <w:jc w:val="center"/>
        <w:rPr>
          <w:sz w:val="24"/>
          <w:szCs w:val="24"/>
        </w:rPr>
      </w:pPr>
      <w:r>
        <w:rPr>
          <w:b/>
          <w:sz w:val="28"/>
          <w:szCs w:val="28"/>
        </w:rPr>
        <w:t xml:space="preserve"> </w:t>
      </w:r>
      <w:r>
        <w:rPr>
          <w:b/>
          <w:sz w:val="24"/>
          <w:szCs w:val="24"/>
        </w:rPr>
        <w:t>О внесении изменений в муниципальную программу</w:t>
      </w:r>
    </w:p>
    <w:p>
      <w:pPr>
        <w:jc w:val="center"/>
        <w:rPr>
          <w:sz w:val="24"/>
          <w:szCs w:val="24"/>
        </w:rPr>
      </w:pPr>
      <w:r>
        <w:rPr>
          <w:rFonts w:eastAsia="Courier New"/>
          <w:b/>
          <w:bCs/>
          <w:sz w:val="24"/>
          <w:szCs w:val="24"/>
        </w:rPr>
        <w:t>«</w:t>
      </w:r>
      <w:r>
        <w:rPr>
          <w:b/>
          <w:sz w:val="24"/>
          <w:szCs w:val="24"/>
        </w:rPr>
        <w:t>Развитие социальной, инженерной инфраструктуры и строительство жилья на территории  Кривошеевского сельсовета Нижнеломовского района  Пензенской области на период 2020 - 2025 годы</w:t>
      </w:r>
      <w:r>
        <w:rPr>
          <w:rFonts w:eastAsia="Courier New"/>
          <w:b/>
          <w:bCs/>
          <w:spacing w:val="-2"/>
          <w:sz w:val="24"/>
          <w:szCs w:val="24"/>
        </w:rPr>
        <w:t>»</w:t>
      </w:r>
      <w:r>
        <w:rPr>
          <w:b/>
          <w:sz w:val="24"/>
          <w:szCs w:val="24"/>
        </w:rPr>
        <w:t xml:space="preserve">, утверждённую  постановлением администрации Кривошеевского сельсовета  от </w:t>
      </w:r>
      <w:r>
        <w:rPr>
          <w:sz w:val="24"/>
          <w:szCs w:val="24"/>
        </w:rPr>
        <w:t xml:space="preserve">25.12.2019 № 238 </w:t>
      </w:r>
      <w:r>
        <w:rPr>
          <w:b/>
          <w:sz w:val="24"/>
          <w:szCs w:val="24"/>
        </w:rPr>
        <w:t>(с последующими изменениями)</w:t>
      </w:r>
    </w:p>
    <w:p>
      <w:pPr>
        <w:jc w:val="center"/>
        <w:rPr>
          <w:sz w:val="28"/>
          <w:szCs w:val="28"/>
        </w:rPr>
      </w:pPr>
      <w:r>
        <w:rPr>
          <w:rFonts w:eastAsia="Courier New"/>
          <w:b/>
          <w:bCs/>
          <w:spacing w:val="-2"/>
          <w:sz w:val="28"/>
          <w:szCs w:val="28"/>
        </w:rPr>
        <w:t xml:space="preserve"> </w:t>
      </w:r>
    </w:p>
    <w:p>
      <w:pPr>
        <w:ind w:firstLine="708"/>
        <w:jc w:val="both"/>
        <w:rPr>
          <w:sz w:val="24"/>
          <w:szCs w:val="24"/>
        </w:rPr>
      </w:pPr>
      <w:r>
        <w:rPr>
          <w:sz w:val="24"/>
          <w:szCs w:val="24"/>
        </w:rPr>
        <w:t xml:space="preserve">В целях улучшения  условий деятельности и повышение качества жизни населения,  руководствуясь  </w:t>
      </w:r>
      <w:r>
        <w:rPr>
          <w:sz w:val="24"/>
          <w:szCs w:val="24"/>
        </w:rPr>
        <w:fldChar w:fldCharType="begin"/>
      </w:r>
      <w:r>
        <w:rPr>
          <w:sz w:val="24"/>
          <w:szCs w:val="24"/>
        </w:rPr>
        <w:instrText xml:space="preserve"> HYPERLINK "file:///D:\\Save%20kri\\Сохранение\\Документы\\постановления\\программы%20все\\Совсем%20новая\\Муниципальная%20программа%2012.02.2014%20№13.doc" \l "sub_0" </w:instrText>
      </w:r>
      <w:r>
        <w:rPr>
          <w:sz w:val="24"/>
          <w:szCs w:val="24"/>
        </w:rPr>
        <w:fldChar w:fldCharType="separate"/>
      </w:r>
      <w:r>
        <w:rPr>
          <w:rStyle w:val="28"/>
          <w:color w:val="auto"/>
          <w:sz w:val="24"/>
          <w:szCs w:val="24"/>
          <w:u w:val="none"/>
        </w:rPr>
        <w:t>постановлением</w:t>
      </w:r>
      <w:r>
        <w:rPr>
          <w:rStyle w:val="28"/>
          <w:color w:val="auto"/>
          <w:sz w:val="24"/>
          <w:szCs w:val="24"/>
          <w:u w:val="none"/>
        </w:rPr>
        <w:fldChar w:fldCharType="end"/>
      </w:r>
      <w:r>
        <w:rPr>
          <w:sz w:val="24"/>
          <w:szCs w:val="24"/>
        </w:rPr>
        <w:t xml:space="preserve">  Правительства Российской Федерации от 31.05.2019 №696 «Комплексное развитие сельских территорий», и на основании статьи 23 Устава  Кривошеевского сельсовета  Нижнеломовского  района  Пензенской области ( с последующими изменениями)–</w:t>
      </w:r>
    </w:p>
    <w:p>
      <w:pPr>
        <w:jc w:val="center"/>
        <w:rPr>
          <w:sz w:val="24"/>
          <w:szCs w:val="24"/>
        </w:rPr>
      </w:pPr>
      <w:r>
        <w:rPr>
          <w:sz w:val="24"/>
          <w:szCs w:val="24"/>
        </w:rPr>
        <w:t>администрация Кривошеевского  сельсовета  Нижнеломовского района постановляет:</w:t>
      </w:r>
    </w:p>
    <w:p>
      <w:pPr>
        <w:jc w:val="both"/>
        <w:rPr>
          <w:sz w:val="24"/>
          <w:szCs w:val="24"/>
        </w:rPr>
      </w:pPr>
      <w:r>
        <w:rPr>
          <w:sz w:val="24"/>
          <w:szCs w:val="24"/>
        </w:rPr>
        <w:t xml:space="preserve">2. Внести изменения в муниципальную программу </w:t>
      </w:r>
      <w:r>
        <w:rPr>
          <w:rFonts w:eastAsia="Courier New"/>
          <w:b/>
          <w:bCs/>
          <w:sz w:val="24"/>
          <w:szCs w:val="24"/>
        </w:rPr>
        <w:t>«</w:t>
      </w:r>
      <w:r>
        <w:rPr>
          <w:sz w:val="24"/>
          <w:szCs w:val="24"/>
        </w:rPr>
        <w:t>Развитие социальной, инженерной инфраструктуры и строительство жилья на территории  Кривошеевского сельсовета Нижнеломовского района  Пензенской области на период 2020 - 2025 годы</w:t>
      </w:r>
      <w:r>
        <w:rPr>
          <w:rFonts w:eastAsia="Courier New"/>
          <w:bCs/>
          <w:spacing w:val="-2"/>
          <w:sz w:val="24"/>
          <w:szCs w:val="24"/>
        </w:rPr>
        <w:t xml:space="preserve">»    </w:t>
      </w:r>
      <w:r>
        <w:rPr>
          <w:sz w:val="24"/>
          <w:szCs w:val="24"/>
        </w:rPr>
        <w:t>согласно приложению</w:t>
      </w:r>
      <w:r>
        <w:rPr>
          <w:i/>
          <w:sz w:val="24"/>
          <w:szCs w:val="24"/>
        </w:rPr>
        <w:t>.</w:t>
      </w:r>
    </w:p>
    <w:p>
      <w:pPr>
        <w:jc w:val="both"/>
        <w:rPr>
          <w:sz w:val="24"/>
          <w:szCs w:val="24"/>
        </w:rPr>
      </w:pPr>
      <w:r>
        <w:rPr>
          <w:sz w:val="24"/>
          <w:szCs w:val="24"/>
        </w:rPr>
        <w:t>2. Настоящее постановление опубликовать в средстве массовой информации Комитета местного самоуправления Кривошеевского сельсовета «Местные ведомости».</w:t>
      </w:r>
    </w:p>
    <w:p>
      <w:pPr>
        <w:jc w:val="both"/>
        <w:rPr>
          <w:sz w:val="24"/>
          <w:szCs w:val="24"/>
        </w:rPr>
      </w:pPr>
      <w:r>
        <w:rPr>
          <w:sz w:val="24"/>
          <w:szCs w:val="24"/>
        </w:rPr>
        <w:t>3 Настоящее постановление вступает в силу  после его опубликования.</w:t>
      </w:r>
    </w:p>
    <w:p>
      <w:pPr>
        <w:jc w:val="both"/>
        <w:rPr>
          <w:sz w:val="24"/>
          <w:szCs w:val="24"/>
        </w:rPr>
      </w:pPr>
      <w:r>
        <w:rPr>
          <w:sz w:val="24"/>
          <w:szCs w:val="24"/>
        </w:rPr>
        <w:t>4.  Контроль за выполнением настоящего постановления возложить на главу администрации Кривошеевского сельсовета Нижнеломовского района Пензенской области.</w:t>
      </w:r>
    </w:p>
    <w:p>
      <w:pPr>
        <w:rPr>
          <w:sz w:val="24"/>
          <w:szCs w:val="24"/>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b/>
          <w:sz w:val="28"/>
          <w:szCs w:val="28"/>
        </w:rPr>
      </w:pPr>
      <w:r>
        <w:rPr>
          <w:b/>
          <w:sz w:val="28"/>
          <w:szCs w:val="28"/>
        </w:rPr>
        <w:t>Глава администрации</w:t>
      </w:r>
    </w:p>
    <w:p>
      <w:pPr>
        <w:rPr>
          <w:b/>
          <w:sz w:val="28"/>
          <w:szCs w:val="28"/>
        </w:rPr>
      </w:pPr>
      <w:r>
        <w:rPr>
          <w:b/>
          <w:sz w:val="28"/>
          <w:szCs w:val="28"/>
        </w:rPr>
        <w:t>Кривошеевского сельсовета                                                     К.Ш.Ишмаков</w:t>
      </w:r>
    </w:p>
    <w:p>
      <w:pPr>
        <w:rPr>
          <w:b/>
          <w:sz w:val="28"/>
          <w:szCs w:val="28"/>
        </w:rPr>
        <w:sectPr>
          <w:pgSz w:w="11906" w:h="16838"/>
          <w:pgMar w:top="654" w:right="850" w:bottom="567" w:left="1701" w:header="720" w:footer="720" w:gutter="0"/>
          <w:cols w:space="720" w:num="1"/>
        </w:sectPr>
      </w:pPr>
    </w:p>
    <w:p>
      <w:pPr>
        <w:spacing w:line="200" w:lineRule="atLeast"/>
        <w:contextualSpacing/>
        <w:jc w:val="right"/>
        <w:rPr>
          <w:b/>
          <w:sz w:val="22"/>
          <w:szCs w:val="22"/>
        </w:rPr>
      </w:pPr>
    </w:p>
    <w:p>
      <w:pPr>
        <w:spacing w:line="200" w:lineRule="atLeast"/>
        <w:contextualSpacing/>
        <w:jc w:val="right"/>
        <w:rPr>
          <w:b/>
          <w:sz w:val="22"/>
          <w:szCs w:val="22"/>
        </w:rPr>
      </w:pPr>
      <w:r>
        <w:rPr>
          <w:b/>
          <w:sz w:val="22"/>
          <w:szCs w:val="22"/>
        </w:rPr>
        <w:t xml:space="preserve">Приложение № 1 </w:t>
      </w:r>
    </w:p>
    <w:p>
      <w:pPr>
        <w:spacing w:line="200" w:lineRule="atLeast"/>
        <w:contextualSpacing/>
        <w:jc w:val="right"/>
        <w:rPr>
          <w:b/>
          <w:sz w:val="22"/>
          <w:szCs w:val="22"/>
        </w:rPr>
      </w:pPr>
      <w:r>
        <w:rPr>
          <w:b/>
          <w:sz w:val="22"/>
          <w:szCs w:val="22"/>
        </w:rPr>
        <w:t xml:space="preserve">к постановлению администрации </w:t>
      </w:r>
    </w:p>
    <w:p>
      <w:pPr>
        <w:spacing w:line="200" w:lineRule="atLeast"/>
        <w:contextualSpacing/>
        <w:jc w:val="right"/>
        <w:rPr>
          <w:b/>
          <w:sz w:val="22"/>
          <w:szCs w:val="22"/>
        </w:rPr>
      </w:pPr>
      <w:r>
        <w:rPr>
          <w:b/>
          <w:sz w:val="22"/>
          <w:szCs w:val="22"/>
        </w:rPr>
        <w:t xml:space="preserve">Кривошеевского сельсовета </w:t>
      </w:r>
    </w:p>
    <w:p>
      <w:pPr>
        <w:spacing w:line="200" w:lineRule="atLeast"/>
        <w:contextualSpacing/>
        <w:jc w:val="right"/>
        <w:rPr>
          <w:b/>
          <w:sz w:val="22"/>
          <w:szCs w:val="22"/>
          <w:lang w:val="ru-RU"/>
        </w:rPr>
      </w:pPr>
      <w:r>
        <w:rPr>
          <w:b/>
          <w:sz w:val="22"/>
          <w:szCs w:val="22"/>
        </w:rPr>
        <w:t>от 2</w:t>
      </w:r>
      <w:r>
        <w:rPr>
          <w:b/>
          <w:sz w:val="22"/>
          <w:szCs w:val="22"/>
          <w:lang w:val="ru-RU"/>
        </w:rPr>
        <w:t>5</w:t>
      </w:r>
      <w:r>
        <w:rPr>
          <w:b/>
          <w:sz w:val="22"/>
          <w:szCs w:val="22"/>
        </w:rPr>
        <w:t>.</w:t>
      </w:r>
      <w:r>
        <w:rPr>
          <w:b/>
          <w:sz w:val="22"/>
          <w:szCs w:val="22"/>
          <w:lang w:val="ru-RU"/>
        </w:rPr>
        <w:t>12</w:t>
      </w:r>
      <w:r>
        <w:rPr>
          <w:b/>
          <w:sz w:val="22"/>
          <w:szCs w:val="22"/>
        </w:rPr>
        <w:t xml:space="preserve">.2020 № </w:t>
      </w:r>
      <w:r>
        <w:rPr>
          <w:b/>
          <w:sz w:val="22"/>
          <w:szCs w:val="22"/>
          <w:lang w:val="ru-RU"/>
        </w:rPr>
        <w:t>281</w:t>
      </w:r>
      <w:r>
        <w:rPr>
          <w:b/>
          <w:sz w:val="22"/>
          <w:szCs w:val="22"/>
        </w:rPr>
        <w:t>/</w:t>
      </w:r>
      <w:r>
        <w:rPr>
          <w:b/>
          <w:sz w:val="22"/>
          <w:szCs w:val="22"/>
          <w:lang w:val="ru-RU"/>
        </w:rPr>
        <w:t>4</w:t>
      </w:r>
    </w:p>
    <w:p>
      <w:pPr>
        <w:spacing w:line="200" w:lineRule="atLeast"/>
        <w:contextualSpacing/>
        <w:jc w:val="center"/>
        <w:rPr>
          <w:sz w:val="24"/>
          <w:szCs w:val="24"/>
        </w:rPr>
      </w:pPr>
      <w:r>
        <w:rPr>
          <w:b/>
          <w:sz w:val="24"/>
          <w:szCs w:val="24"/>
        </w:rPr>
        <w:t>ПАСПОРТ</w:t>
      </w:r>
    </w:p>
    <w:p>
      <w:pPr>
        <w:spacing w:line="200" w:lineRule="atLeast"/>
        <w:contextualSpacing/>
        <w:jc w:val="center"/>
        <w:rPr>
          <w:sz w:val="24"/>
          <w:szCs w:val="24"/>
        </w:rPr>
      </w:pPr>
      <w:r>
        <w:rPr>
          <w:b/>
          <w:sz w:val="24"/>
          <w:szCs w:val="24"/>
        </w:rPr>
        <w:t>Муниципальной программы Кривошеевского сельсовета Нижнеломовского района Пензенской области</w:t>
      </w:r>
    </w:p>
    <w:p>
      <w:pPr>
        <w:jc w:val="center"/>
      </w:pPr>
      <w:r>
        <w:rPr>
          <w:rFonts w:eastAsia="Courier New"/>
          <w:b/>
          <w:bCs/>
          <w:sz w:val="24"/>
          <w:szCs w:val="24"/>
        </w:rPr>
        <w:t>«</w:t>
      </w:r>
      <w:r>
        <w:rPr>
          <w:b/>
          <w:sz w:val="24"/>
          <w:szCs w:val="24"/>
        </w:rPr>
        <w:t>Развитие социальной, инженерной инфраструктуры и строительство жилья на территории  Кривошеевского сельсовета Нижнеломовского района  Пензенской области на период 2020 - 2025 годы</w:t>
      </w:r>
      <w:r>
        <w:rPr>
          <w:rFonts w:eastAsia="Courier New"/>
          <w:b/>
          <w:bCs/>
          <w:spacing w:val="-2"/>
          <w:sz w:val="24"/>
          <w:szCs w:val="24"/>
        </w:rPr>
        <w:t xml:space="preserve">»  </w:t>
      </w:r>
      <w:r>
        <w:rPr>
          <w:rFonts w:eastAsia="Courier New"/>
          <w:b/>
          <w:bCs/>
          <w:spacing w:val="-2"/>
          <w:sz w:val="28"/>
          <w:szCs w:val="28"/>
        </w:rPr>
        <w:t xml:space="preserve">  </w:t>
      </w:r>
    </w:p>
    <w:tbl>
      <w:tblPr>
        <w:tblStyle w:val="30"/>
        <w:tblW w:w="9762" w:type="dxa"/>
        <w:tblInd w:w="0" w:type="dxa"/>
        <w:tblLayout w:type="fixed"/>
        <w:tblCellMar>
          <w:top w:w="102" w:type="dxa"/>
          <w:left w:w="62" w:type="dxa"/>
          <w:bottom w:w="102" w:type="dxa"/>
          <w:right w:w="62" w:type="dxa"/>
        </w:tblCellMar>
      </w:tblPr>
      <w:tblGrid>
        <w:gridCol w:w="2693"/>
        <w:gridCol w:w="359"/>
        <w:gridCol w:w="6710"/>
      </w:tblGrid>
      <w:tr>
        <w:tblPrEx>
          <w:tblLayout w:type="fixed"/>
          <w:tblCellMar>
            <w:top w:w="102" w:type="dxa"/>
            <w:left w:w="62" w:type="dxa"/>
            <w:bottom w:w="102" w:type="dxa"/>
            <w:right w:w="62" w:type="dxa"/>
          </w:tblCellMar>
        </w:tblPrEx>
        <w:trPr>
          <w:trHeight w:val="1104" w:hRule="atLeast"/>
        </w:trPr>
        <w:tc>
          <w:tcPr>
            <w:tcW w:w="2693" w:type="dxa"/>
            <w:tcBorders>
              <w:top w:val="single" w:color="auto" w:sz="4" w:space="0"/>
              <w:left w:val="single" w:color="auto" w:sz="4" w:space="0"/>
              <w:right w:val="single" w:color="auto" w:sz="4" w:space="0"/>
            </w:tcBorders>
          </w:tcPr>
          <w:p>
            <w:pPr>
              <w:rPr>
                <w:sz w:val="22"/>
                <w:szCs w:val="22"/>
              </w:rPr>
            </w:pPr>
          </w:p>
          <w:p>
            <w:pPr>
              <w:rPr>
                <w:sz w:val="22"/>
                <w:szCs w:val="22"/>
              </w:rPr>
            </w:pPr>
            <w:r>
              <w:rPr>
                <w:sz w:val="22"/>
                <w:szCs w:val="22"/>
              </w:rPr>
              <w:t>Наименование  муниципальной программы</w:t>
            </w:r>
          </w:p>
        </w:tc>
        <w:tc>
          <w:tcPr>
            <w:tcW w:w="359" w:type="dxa"/>
            <w:tcBorders>
              <w:top w:val="single" w:color="auto" w:sz="4" w:space="0"/>
              <w:left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right w:val="single" w:color="auto" w:sz="4" w:space="0"/>
            </w:tcBorders>
          </w:tcPr>
          <w:p>
            <w:pPr>
              <w:rPr>
                <w:sz w:val="22"/>
                <w:szCs w:val="22"/>
              </w:rPr>
            </w:pPr>
            <w:r>
              <w:rPr>
                <w:sz w:val="22"/>
                <w:szCs w:val="22"/>
              </w:rPr>
              <w:t xml:space="preserve">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 </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Ответственный исполнитель программы</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 xml:space="preserve">Администрация Кривошеевского сельсовета Нижнеломовского района Пензенской области  </w:t>
            </w:r>
          </w:p>
        </w:tc>
      </w:tr>
      <w:tr>
        <w:tblPrEx>
          <w:tblLayout w:type="fixed"/>
          <w:tblCellMar>
            <w:top w:w="102" w:type="dxa"/>
            <w:left w:w="62" w:type="dxa"/>
            <w:bottom w:w="102" w:type="dxa"/>
            <w:right w:w="62" w:type="dxa"/>
          </w:tblCellMar>
        </w:tblPrEx>
        <w:trPr>
          <w:trHeight w:val="1109" w:hRule="atLeast"/>
        </w:trPr>
        <w:tc>
          <w:tcPr>
            <w:tcW w:w="2693" w:type="dxa"/>
            <w:tcBorders>
              <w:top w:val="single" w:color="auto" w:sz="4" w:space="0"/>
              <w:left w:val="single" w:color="auto" w:sz="4" w:space="0"/>
              <w:right w:val="single" w:color="auto" w:sz="4" w:space="0"/>
            </w:tcBorders>
          </w:tcPr>
          <w:p>
            <w:pPr>
              <w:rPr>
                <w:sz w:val="22"/>
                <w:szCs w:val="22"/>
              </w:rPr>
            </w:pPr>
            <w:r>
              <w:rPr>
                <w:sz w:val="22"/>
                <w:szCs w:val="22"/>
              </w:rPr>
              <w:t>Цели программы</w:t>
            </w:r>
          </w:p>
        </w:tc>
        <w:tc>
          <w:tcPr>
            <w:tcW w:w="359" w:type="dxa"/>
            <w:tcBorders>
              <w:top w:val="single" w:color="auto" w:sz="4" w:space="0"/>
              <w:left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right w:val="single" w:color="auto" w:sz="4" w:space="0"/>
            </w:tcBorders>
          </w:tcPr>
          <w:p>
            <w:pPr>
              <w:rPr>
                <w:sz w:val="22"/>
                <w:szCs w:val="22"/>
              </w:rPr>
            </w:pPr>
            <w:r>
              <w:rPr>
                <w:rFonts w:eastAsia="SimSun"/>
                <w:sz w:val="22"/>
                <w:szCs w:val="22"/>
              </w:rPr>
              <w:t>Улучшение</w:t>
            </w:r>
            <w:r>
              <w:rPr>
                <w:sz w:val="22"/>
                <w:szCs w:val="22"/>
              </w:rPr>
              <w:tab/>
            </w:r>
            <w:r>
              <w:rPr>
                <w:sz w:val="22"/>
                <w:szCs w:val="22"/>
              </w:rPr>
              <w:t>жилищных</w:t>
            </w:r>
            <w:r>
              <w:rPr>
                <w:sz w:val="22"/>
                <w:szCs w:val="22"/>
              </w:rPr>
              <w:tab/>
            </w:r>
            <w:r>
              <w:rPr>
                <w:sz w:val="22"/>
                <w:szCs w:val="22"/>
              </w:rPr>
              <w:t>условий</w:t>
            </w:r>
            <w:r>
              <w:rPr>
                <w:sz w:val="22"/>
                <w:szCs w:val="22"/>
              </w:rPr>
              <w:tab/>
            </w:r>
            <w:r>
              <w:rPr>
                <w:sz w:val="22"/>
                <w:szCs w:val="22"/>
              </w:rPr>
              <w:t>граждан,</w:t>
            </w:r>
          </w:p>
          <w:p>
            <w:pPr>
              <w:rPr>
                <w:sz w:val="22"/>
                <w:szCs w:val="22"/>
              </w:rPr>
            </w:pPr>
            <w:r>
              <w:rPr>
                <w:sz w:val="22"/>
                <w:szCs w:val="22"/>
              </w:rPr>
              <w:t>проживающих на сельских территориях</w:t>
            </w:r>
          </w:p>
          <w:p>
            <w:pPr>
              <w:rPr>
                <w:sz w:val="22"/>
                <w:szCs w:val="22"/>
              </w:rPr>
            </w:pPr>
            <w:r>
              <w:rPr>
                <w:sz w:val="22"/>
                <w:szCs w:val="22"/>
              </w:rPr>
              <w:t>обеспечение создания комфортных условий жизнедеятельности в сельской местности</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right w:val="single" w:color="auto" w:sz="4" w:space="0"/>
            </w:tcBorders>
          </w:tcPr>
          <w:p>
            <w:pPr>
              <w:rPr>
                <w:sz w:val="22"/>
                <w:szCs w:val="22"/>
              </w:rPr>
            </w:pPr>
            <w:r>
              <w:rPr>
                <w:sz w:val="22"/>
                <w:szCs w:val="22"/>
              </w:rPr>
              <w:t>Задачи программы</w:t>
            </w:r>
          </w:p>
        </w:tc>
        <w:tc>
          <w:tcPr>
            <w:tcW w:w="359" w:type="dxa"/>
            <w:tcBorders>
              <w:top w:val="single" w:color="auto" w:sz="4" w:space="0"/>
              <w:left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right w:val="single" w:color="auto" w:sz="4" w:space="0"/>
            </w:tcBorders>
          </w:tcPr>
          <w:p>
            <w:pPr>
              <w:rPr>
                <w:sz w:val="22"/>
                <w:szCs w:val="22"/>
              </w:rPr>
            </w:pPr>
            <w:r>
              <w:rPr>
                <w:sz w:val="22"/>
                <w:szCs w:val="22"/>
              </w:rPr>
              <w:t>удовлетворение потребностей сельского населения в благоустроенном жилье</w:t>
            </w:r>
          </w:p>
          <w:p>
            <w:pPr>
              <w:rPr>
                <w:sz w:val="22"/>
                <w:szCs w:val="22"/>
              </w:rPr>
            </w:pPr>
            <w:r>
              <w:rPr>
                <w:sz w:val="22"/>
                <w:szCs w:val="22"/>
              </w:rPr>
              <w:t>повышение уровня комплексного обустройства населенных пунктов, расположенных в сельской местности, объектами инженерной инфраструктуры , автомобильными дорогами общего пользования с твердым покрытием и социальной инфраструктурой</w:t>
            </w:r>
          </w:p>
        </w:tc>
      </w:tr>
      <w:tr>
        <w:tblPrEx>
          <w:tblLayout w:type="fixed"/>
          <w:tblCellMar>
            <w:top w:w="102" w:type="dxa"/>
            <w:left w:w="62" w:type="dxa"/>
            <w:bottom w:w="102" w:type="dxa"/>
            <w:right w:w="62" w:type="dxa"/>
          </w:tblCellMar>
        </w:tblPrEx>
        <w:trPr>
          <w:trHeight w:val="1129" w:hRule="atLeast"/>
        </w:trPr>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Целевые показатели программы</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Ввод (приобретение) жилья для граждан, проживающих на сельских территориях, тыс. кв. м;</w:t>
            </w:r>
          </w:p>
          <w:p>
            <w:pPr>
              <w:rPr>
                <w:sz w:val="22"/>
                <w:szCs w:val="22"/>
              </w:rPr>
            </w:pPr>
            <w:r>
              <w:rPr>
                <w:sz w:val="22"/>
                <w:szCs w:val="22"/>
              </w:rPr>
              <w:t>Ввод жилья, предоставленного гражданам по договорам найма жилого помещения, тыс. кв. м</w:t>
            </w:r>
          </w:p>
        </w:tc>
      </w:tr>
      <w:tr>
        <w:tblPrEx>
          <w:tblLayout w:type="fixed"/>
          <w:tblCellMar>
            <w:top w:w="102" w:type="dxa"/>
            <w:left w:w="62" w:type="dxa"/>
            <w:bottom w:w="102" w:type="dxa"/>
            <w:right w:w="62" w:type="dxa"/>
          </w:tblCellMar>
        </w:tblPrEx>
        <w:trPr>
          <w:trHeight w:val="90" w:hRule="atLeast"/>
        </w:trPr>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Сроки и этапы реализации программы</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Сроки реализации муниципальной Программы 2020-2025 годы.</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Объем и источники финансирования программы (по годам)</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b/>
                <w:bCs/>
                <w:sz w:val="22"/>
                <w:szCs w:val="22"/>
              </w:rPr>
              <w:t xml:space="preserve">Общий объем финансирования программы 2020-2025 г.г. </w:t>
            </w:r>
            <w:r>
              <w:rPr>
                <w:b/>
                <w:bCs/>
                <w:sz w:val="22"/>
                <w:szCs w:val="22"/>
                <w:lang w:val="ru-RU"/>
              </w:rPr>
              <w:t>1155497,1</w:t>
            </w:r>
            <w:r>
              <w:rPr>
                <w:b/>
                <w:bCs/>
                <w:sz w:val="22"/>
                <w:szCs w:val="22"/>
              </w:rPr>
              <w:t xml:space="preserve"> тыс.рублей в том числе по годам реализации:</w:t>
            </w:r>
            <w:r>
              <w:rPr>
                <w:sz w:val="22"/>
                <w:szCs w:val="22"/>
              </w:rPr>
              <w:t xml:space="preserve">                                                                 2020 год  -  </w:t>
            </w:r>
            <w:r>
              <w:rPr>
                <w:sz w:val="22"/>
                <w:szCs w:val="22"/>
                <w:lang w:val="ru-RU"/>
              </w:rPr>
              <w:t>387587,9</w:t>
            </w:r>
            <w:r>
              <w:rPr>
                <w:sz w:val="22"/>
                <w:szCs w:val="22"/>
              </w:rPr>
              <w:t xml:space="preserve">   тыс.рублей                                                                 2021 год  -  </w:t>
            </w:r>
            <w:r>
              <w:rPr>
                <w:sz w:val="22"/>
                <w:szCs w:val="22"/>
                <w:lang w:val="ru-RU"/>
              </w:rPr>
              <w:t>221389,0</w:t>
            </w:r>
            <w:r>
              <w:rPr>
                <w:sz w:val="22"/>
                <w:szCs w:val="22"/>
              </w:rPr>
              <w:t xml:space="preserve">    тыс.рублей</w:t>
            </w:r>
          </w:p>
          <w:p>
            <w:pPr>
              <w:rPr>
                <w:sz w:val="22"/>
                <w:szCs w:val="22"/>
              </w:rPr>
            </w:pPr>
            <w:r>
              <w:rPr>
                <w:sz w:val="22"/>
                <w:szCs w:val="22"/>
              </w:rPr>
              <w:t xml:space="preserve">2022 год  - </w:t>
            </w:r>
            <w:r>
              <w:rPr>
                <w:sz w:val="22"/>
                <w:szCs w:val="22"/>
                <w:lang w:val="ru-RU"/>
              </w:rPr>
              <w:t xml:space="preserve"> 276585,4</w:t>
            </w:r>
            <w:r>
              <w:rPr>
                <w:sz w:val="22"/>
                <w:szCs w:val="22"/>
              </w:rPr>
              <w:t xml:space="preserve">    тыс.рублей</w:t>
            </w:r>
          </w:p>
          <w:p>
            <w:pPr>
              <w:rPr>
                <w:sz w:val="22"/>
                <w:szCs w:val="22"/>
              </w:rPr>
            </w:pPr>
            <w:r>
              <w:rPr>
                <w:sz w:val="22"/>
                <w:szCs w:val="22"/>
              </w:rPr>
              <w:t xml:space="preserve">2023 год  - </w:t>
            </w:r>
            <w:r>
              <w:rPr>
                <w:sz w:val="22"/>
                <w:szCs w:val="22"/>
                <w:lang w:val="ru-RU"/>
              </w:rPr>
              <w:t xml:space="preserve"> 269934,8</w:t>
            </w:r>
            <w:r>
              <w:rPr>
                <w:sz w:val="22"/>
                <w:szCs w:val="22"/>
              </w:rPr>
              <w:t xml:space="preserve">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r>
              <w:rPr>
                <w:b/>
                <w:bCs/>
                <w:sz w:val="22"/>
                <w:szCs w:val="22"/>
              </w:rPr>
              <w:t xml:space="preserve">Объем финансирования программы  из федерального бюджета                                                                </w:t>
            </w:r>
            <w:r>
              <w:rPr>
                <w:b/>
                <w:bCs/>
                <w:sz w:val="22"/>
                <w:szCs w:val="22"/>
                <w:lang w:val="ru-RU"/>
              </w:rPr>
              <w:t>1043297,3</w:t>
            </w:r>
            <w:r>
              <w:rPr>
                <w:b/>
                <w:bCs/>
                <w:sz w:val="22"/>
                <w:szCs w:val="22"/>
              </w:rPr>
              <w:t xml:space="preserve">  тыс.рублей в том числе по годам реализации:</w:t>
            </w:r>
            <w:r>
              <w:rPr>
                <w:sz w:val="22"/>
                <w:szCs w:val="22"/>
              </w:rPr>
              <w:t xml:space="preserve">                                                               </w:t>
            </w:r>
          </w:p>
          <w:p>
            <w:pPr>
              <w:rPr>
                <w:sz w:val="22"/>
                <w:szCs w:val="22"/>
              </w:rPr>
            </w:pPr>
            <w:r>
              <w:rPr>
                <w:sz w:val="22"/>
                <w:szCs w:val="22"/>
              </w:rPr>
              <w:t>2020 год  -  28</w:t>
            </w:r>
            <w:r>
              <w:rPr>
                <w:sz w:val="22"/>
                <w:szCs w:val="22"/>
                <w:lang w:val="ru-RU"/>
              </w:rPr>
              <w:t>3829,5</w:t>
            </w:r>
            <w:r>
              <w:rPr>
                <w:sz w:val="22"/>
                <w:szCs w:val="22"/>
              </w:rPr>
              <w:t xml:space="preserve">   тыс.рублей                                                                 2021 год  -  </w:t>
            </w:r>
            <w:r>
              <w:rPr>
                <w:sz w:val="22"/>
                <w:szCs w:val="22"/>
                <w:lang w:val="ru-RU"/>
              </w:rPr>
              <w:t>218412,8</w:t>
            </w:r>
            <w:r>
              <w:rPr>
                <w:sz w:val="22"/>
                <w:szCs w:val="22"/>
              </w:rPr>
              <w:t xml:space="preserve">    тыс.рублей</w:t>
            </w:r>
          </w:p>
          <w:p>
            <w:pPr>
              <w:rPr>
                <w:sz w:val="22"/>
                <w:szCs w:val="22"/>
              </w:rPr>
            </w:pPr>
            <w:r>
              <w:rPr>
                <w:sz w:val="22"/>
                <w:szCs w:val="22"/>
              </w:rPr>
              <w:t xml:space="preserve">2022 год  -  </w:t>
            </w:r>
            <w:r>
              <w:rPr>
                <w:sz w:val="22"/>
                <w:szCs w:val="22"/>
                <w:lang w:val="ru-RU"/>
              </w:rPr>
              <w:t>273819,5</w:t>
            </w:r>
            <w:r>
              <w:rPr>
                <w:sz w:val="22"/>
                <w:szCs w:val="22"/>
              </w:rPr>
              <w:t xml:space="preserve">   тыс.рублей</w:t>
            </w:r>
          </w:p>
          <w:p>
            <w:pPr>
              <w:rPr>
                <w:sz w:val="22"/>
                <w:szCs w:val="22"/>
              </w:rPr>
            </w:pPr>
            <w:r>
              <w:rPr>
                <w:sz w:val="22"/>
                <w:szCs w:val="22"/>
              </w:rPr>
              <w:t xml:space="preserve">2023 год  - </w:t>
            </w:r>
            <w:r>
              <w:rPr>
                <w:sz w:val="22"/>
                <w:szCs w:val="22"/>
                <w:lang w:val="ru-RU"/>
              </w:rPr>
              <w:t>267235,5</w:t>
            </w:r>
            <w:r>
              <w:rPr>
                <w:sz w:val="22"/>
                <w:szCs w:val="22"/>
              </w:rPr>
              <w:t xml:space="preserve">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r>
              <w:rPr>
                <w:b/>
                <w:bCs/>
                <w:sz w:val="22"/>
                <w:szCs w:val="22"/>
              </w:rPr>
              <w:t>Объем финансирования программы  из бюджета   Пензенской области  3</w:t>
            </w:r>
            <w:r>
              <w:rPr>
                <w:b/>
                <w:bCs/>
                <w:sz w:val="22"/>
                <w:szCs w:val="22"/>
                <w:lang w:val="ru-RU"/>
              </w:rPr>
              <w:t>2352,2</w:t>
            </w:r>
            <w:r>
              <w:rPr>
                <w:b/>
                <w:bCs/>
                <w:sz w:val="22"/>
                <w:szCs w:val="22"/>
              </w:rPr>
              <w:t xml:space="preserve">  тыс.рублей в том числе по годам реализации:  </w:t>
            </w:r>
            <w:r>
              <w:rPr>
                <w:sz w:val="22"/>
                <w:szCs w:val="22"/>
              </w:rPr>
              <w:t xml:space="preserve">                                                               2020 год  -  </w:t>
            </w:r>
            <w:r>
              <w:rPr>
                <w:sz w:val="22"/>
                <w:szCs w:val="22"/>
                <w:lang w:val="ru-RU"/>
              </w:rPr>
              <w:t>24680,8</w:t>
            </w:r>
            <w:r>
              <w:rPr>
                <w:sz w:val="22"/>
                <w:szCs w:val="22"/>
              </w:rPr>
              <w:t xml:space="preserve">  тыс.рублей                                                                 2021 год  -  </w:t>
            </w:r>
            <w:r>
              <w:rPr>
                <w:sz w:val="22"/>
                <w:szCs w:val="22"/>
                <w:lang w:val="ru-RU"/>
              </w:rPr>
              <w:t>2206,2</w:t>
            </w:r>
            <w:r>
              <w:rPr>
                <w:sz w:val="22"/>
                <w:szCs w:val="22"/>
              </w:rPr>
              <w:t xml:space="preserve">   тыс.рублей</w:t>
            </w:r>
          </w:p>
          <w:p>
            <w:pPr>
              <w:rPr>
                <w:sz w:val="22"/>
                <w:szCs w:val="22"/>
              </w:rPr>
            </w:pPr>
            <w:r>
              <w:rPr>
                <w:sz w:val="22"/>
                <w:szCs w:val="22"/>
              </w:rPr>
              <w:t xml:space="preserve">2022 год  - </w:t>
            </w:r>
            <w:r>
              <w:rPr>
                <w:sz w:val="22"/>
                <w:szCs w:val="22"/>
                <w:lang w:val="ru-RU"/>
              </w:rPr>
              <w:t>2765,9</w:t>
            </w:r>
            <w:r>
              <w:rPr>
                <w:sz w:val="22"/>
                <w:szCs w:val="22"/>
              </w:rPr>
              <w:t xml:space="preserve">    тыс.рублей</w:t>
            </w:r>
          </w:p>
          <w:p>
            <w:pPr>
              <w:rPr>
                <w:sz w:val="22"/>
                <w:szCs w:val="22"/>
              </w:rPr>
            </w:pPr>
            <w:r>
              <w:rPr>
                <w:sz w:val="22"/>
                <w:szCs w:val="22"/>
              </w:rPr>
              <w:t xml:space="preserve">2023 год  - </w:t>
            </w:r>
            <w:r>
              <w:rPr>
                <w:sz w:val="22"/>
                <w:szCs w:val="22"/>
                <w:lang w:val="ru-RU"/>
              </w:rPr>
              <w:t>2699,3</w:t>
            </w:r>
            <w:r>
              <w:rPr>
                <w:sz w:val="22"/>
                <w:szCs w:val="22"/>
              </w:rPr>
              <w:t xml:space="preserve">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p>
          <w:p>
            <w:pPr>
              <w:rPr>
                <w:sz w:val="22"/>
                <w:szCs w:val="22"/>
              </w:rPr>
            </w:pPr>
            <w:r>
              <w:rPr>
                <w:b/>
                <w:bCs/>
                <w:sz w:val="22"/>
                <w:szCs w:val="22"/>
              </w:rPr>
              <w:t>Объем финансирования программы  из бюджета Кривошеевского сельсовета   Нижнеломовского района  7</w:t>
            </w:r>
            <w:r>
              <w:rPr>
                <w:b/>
                <w:bCs/>
                <w:sz w:val="22"/>
                <w:szCs w:val="22"/>
                <w:lang w:val="ru-RU"/>
              </w:rPr>
              <w:t>9847,6</w:t>
            </w:r>
            <w:r>
              <w:rPr>
                <w:b/>
                <w:bCs/>
                <w:sz w:val="22"/>
                <w:szCs w:val="22"/>
              </w:rPr>
              <w:t xml:space="preserve">  тыс.рублей в том числе по годам реализации:</w:t>
            </w:r>
            <w:r>
              <w:rPr>
                <w:sz w:val="22"/>
                <w:szCs w:val="22"/>
              </w:rPr>
              <w:t xml:space="preserve">                                                                 2020 год  -  </w:t>
            </w:r>
            <w:r>
              <w:rPr>
                <w:sz w:val="22"/>
                <w:szCs w:val="22"/>
                <w:lang w:val="ru-RU"/>
              </w:rPr>
              <w:t>79077,6</w:t>
            </w:r>
            <w:r>
              <w:rPr>
                <w:sz w:val="22"/>
                <w:szCs w:val="22"/>
              </w:rPr>
              <w:t xml:space="preserve">   тыс.рублей                                                                 2021 год  -  </w:t>
            </w:r>
            <w:r>
              <w:rPr>
                <w:sz w:val="22"/>
                <w:szCs w:val="22"/>
                <w:lang w:val="ru-RU"/>
              </w:rPr>
              <w:t>770,0</w:t>
            </w:r>
            <w:r>
              <w:rPr>
                <w:sz w:val="22"/>
                <w:szCs w:val="22"/>
              </w:rPr>
              <w:t xml:space="preserve">    тыс.рублей</w:t>
            </w:r>
          </w:p>
          <w:p>
            <w:pPr>
              <w:rPr>
                <w:sz w:val="22"/>
                <w:szCs w:val="22"/>
              </w:rPr>
            </w:pPr>
            <w:r>
              <w:rPr>
                <w:sz w:val="22"/>
                <w:szCs w:val="22"/>
              </w:rPr>
              <w:t>2022 год  -  0,0    тыс.рублей</w:t>
            </w:r>
          </w:p>
          <w:p>
            <w:pPr>
              <w:rPr>
                <w:sz w:val="22"/>
                <w:szCs w:val="22"/>
              </w:rPr>
            </w:pPr>
            <w:r>
              <w:rPr>
                <w:sz w:val="22"/>
                <w:szCs w:val="22"/>
              </w:rPr>
              <w:t>2023 год  -  0,0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r>
              <w:rPr>
                <w:b/>
                <w:bCs/>
                <w:sz w:val="22"/>
                <w:szCs w:val="22"/>
              </w:rPr>
              <w:t>Объем финансирования программы  из внебюджетных источников 0,0  тыс.рублей в том числе по годам реализации:</w:t>
            </w:r>
            <w:r>
              <w:rPr>
                <w:sz w:val="22"/>
                <w:szCs w:val="22"/>
              </w:rPr>
              <w:t xml:space="preserve">                                                                 </w:t>
            </w:r>
          </w:p>
          <w:p>
            <w:pPr>
              <w:rPr>
                <w:sz w:val="22"/>
                <w:szCs w:val="22"/>
              </w:rPr>
            </w:pPr>
            <w:r>
              <w:rPr>
                <w:sz w:val="22"/>
                <w:szCs w:val="22"/>
              </w:rPr>
              <w:t>2020 год  -  0,0    тыс.рублей                                                                 2021 год  -  0,0    тыс.рублей</w:t>
            </w:r>
          </w:p>
          <w:p>
            <w:pPr>
              <w:rPr>
                <w:sz w:val="22"/>
                <w:szCs w:val="22"/>
              </w:rPr>
            </w:pPr>
            <w:r>
              <w:rPr>
                <w:sz w:val="22"/>
                <w:szCs w:val="22"/>
              </w:rPr>
              <w:t>2022 год  -  0,0    тыс.рублей</w:t>
            </w:r>
          </w:p>
          <w:p>
            <w:pPr>
              <w:rPr>
                <w:sz w:val="22"/>
                <w:szCs w:val="22"/>
              </w:rPr>
            </w:pPr>
            <w:r>
              <w:rPr>
                <w:sz w:val="22"/>
                <w:szCs w:val="22"/>
              </w:rPr>
              <w:t>2023 год  -  0,0    тыс.рублей</w:t>
            </w:r>
          </w:p>
          <w:p>
            <w:pPr>
              <w:rPr>
                <w:sz w:val="22"/>
                <w:szCs w:val="22"/>
              </w:rPr>
            </w:pPr>
            <w:r>
              <w:rPr>
                <w:sz w:val="22"/>
                <w:szCs w:val="22"/>
              </w:rPr>
              <w:t>2024 год  -  0,0    тыс.рублей</w:t>
            </w:r>
          </w:p>
          <w:p>
            <w:pPr>
              <w:rPr>
                <w:sz w:val="22"/>
                <w:szCs w:val="22"/>
              </w:rPr>
            </w:pPr>
            <w:r>
              <w:rPr>
                <w:sz w:val="22"/>
                <w:szCs w:val="22"/>
              </w:rPr>
              <w:t>2025 год  -  0,0    тыс.рублей</w:t>
            </w:r>
          </w:p>
          <w:p>
            <w:pPr>
              <w:rPr>
                <w:sz w:val="22"/>
                <w:szCs w:val="22"/>
              </w:rPr>
            </w:pP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Ожидаемые результаты реализации муниципальной подпрограммы</w:t>
            </w:r>
          </w:p>
        </w:tc>
        <w:tc>
          <w:tcPr>
            <w:tcW w:w="359"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sz w:val="22"/>
                <w:szCs w:val="22"/>
              </w:rPr>
            </w:pPr>
            <w:r>
              <w:rPr>
                <w:sz w:val="22"/>
                <w:szCs w:val="22"/>
              </w:rPr>
              <w:t xml:space="preserve">Увеличение численности населения Нижнеломовского района, в том числе Кривошеевского сельсовета и рост демографии </w:t>
            </w:r>
          </w:p>
        </w:tc>
      </w:tr>
    </w:tbl>
    <w:p>
      <w:pPr>
        <w:jc w:val="center"/>
        <w:rPr>
          <w:sz w:val="28"/>
          <w:szCs w:val="28"/>
        </w:rPr>
      </w:pPr>
    </w:p>
    <w:p>
      <w:pPr>
        <w:spacing w:line="200" w:lineRule="atLeast"/>
        <w:contextualSpacing/>
        <w:jc w:val="both"/>
        <w:rPr>
          <w:b/>
          <w:sz w:val="28"/>
          <w:szCs w:val="28"/>
        </w:rPr>
      </w:pPr>
    </w:p>
    <w:p>
      <w:pPr>
        <w:spacing w:line="200" w:lineRule="atLeast"/>
        <w:contextualSpacing/>
        <w:jc w:val="center"/>
        <w:rPr>
          <w:sz w:val="24"/>
          <w:szCs w:val="24"/>
        </w:rPr>
      </w:pPr>
      <w:r>
        <w:rPr>
          <w:b/>
          <w:sz w:val="24"/>
          <w:szCs w:val="24"/>
        </w:rPr>
        <w:t>ПАСПОРТ</w:t>
      </w:r>
    </w:p>
    <w:p>
      <w:pPr>
        <w:spacing w:line="200" w:lineRule="atLeast"/>
        <w:contextualSpacing/>
        <w:jc w:val="center"/>
        <w:rPr>
          <w:sz w:val="24"/>
          <w:szCs w:val="24"/>
        </w:rPr>
      </w:pPr>
      <w:r>
        <w:rPr>
          <w:b/>
          <w:sz w:val="24"/>
          <w:szCs w:val="24"/>
        </w:rPr>
        <w:t xml:space="preserve">подпрограммы 1 муниципальной  программы </w:t>
      </w:r>
    </w:p>
    <w:p>
      <w:pPr>
        <w:spacing w:line="200" w:lineRule="atLeast"/>
        <w:contextualSpacing/>
        <w:jc w:val="center"/>
        <w:rPr>
          <w:sz w:val="24"/>
          <w:szCs w:val="24"/>
        </w:rPr>
      </w:pPr>
      <w:r>
        <w:rPr>
          <w:b/>
          <w:sz w:val="24"/>
          <w:szCs w:val="24"/>
        </w:rPr>
        <w:t>Кривошеевского сельсовета Нижнеломовского района Пензенской области</w:t>
      </w:r>
    </w:p>
    <w:p>
      <w:pPr>
        <w:jc w:val="center"/>
        <w:rPr>
          <w:sz w:val="24"/>
          <w:szCs w:val="24"/>
        </w:rPr>
      </w:pPr>
      <w:r>
        <w:rPr>
          <w:rFonts w:eastAsia="Courier New"/>
          <w:b/>
          <w:bCs/>
          <w:sz w:val="24"/>
          <w:szCs w:val="24"/>
        </w:rPr>
        <w:t>«</w:t>
      </w:r>
      <w:r>
        <w:rPr>
          <w:b/>
          <w:sz w:val="24"/>
          <w:szCs w:val="24"/>
        </w:rPr>
        <w:t>Развитие социальной, инженерной инфраструктуры и строительство жилья на территории  Кривошеевского сельсовета Нижнеломовского района  Пензенской области на период 2020 - 2025 годы</w:t>
      </w:r>
      <w:r>
        <w:rPr>
          <w:rFonts w:eastAsia="Courier New"/>
          <w:b/>
          <w:bCs/>
          <w:spacing w:val="-2"/>
          <w:sz w:val="24"/>
          <w:szCs w:val="24"/>
        </w:rPr>
        <w:t xml:space="preserve">»    </w:t>
      </w:r>
    </w:p>
    <w:p/>
    <w:tbl>
      <w:tblPr>
        <w:tblStyle w:val="30"/>
        <w:tblW w:w="9762" w:type="dxa"/>
        <w:tblInd w:w="0" w:type="dxa"/>
        <w:tblLayout w:type="fixed"/>
        <w:tblCellMar>
          <w:top w:w="102" w:type="dxa"/>
          <w:left w:w="62" w:type="dxa"/>
          <w:bottom w:w="102" w:type="dxa"/>
          <w:right w:w="62" w:type="dxa"/>
        </w:tblCellMar>
      </w:tblPr>
      <w:tblGrid>
        <w:gridCol w:w="2693"/>
        <w:gridCol w:w="359"/>
        <w:gridCol w:w="6710"/>
      </w:tblGrid>
      <w:tr>
        <w:tblPrEx>
          <w:tblLayout w:type="fixed"/>
          <w:tblCellMar>
            <w:top w:w="102" w:type="dxa"/>
            <w:left w:w="62" w:type="dxa"/>
            <w:bottom w:w="102" w:type="dxa"/>
            <w:right w:w="62" w:type="dxa"/>
          </w:tblCellMar>
        </w:tblPrEx>
        <w:trPr>
          <w:trHeight w:val="695" w:hRule="atLeast"/>
        </w:trPr>
        <w:tc>
          <w:tcPr>
            <w:tcW w:w="2693"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Наименование подпрограммы</w:t>
            </w:r>
          </w:p>
        </w:tc>
        <w:tc>
          <w:tcPr>
            <w:tcW w:w="359"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Создание условий для обеспечения доступным и комфортным  жильем сельского населения</w:t>
            </w:r>
          </w:p>
        </w:tc>
      </w:tr>
      <w:tr>
        <w:tblPrEx>
          <w:tblLayout w:type="fixed"/>
          <w:tblCellMar>
            <w:top w:w="102" w:type="dxa"/>
            <w:left w:w="62" w:type="dxa"/>
            <w:bottom w:w="102" w:type="dxa"/>
            <w:right w:w="62" w:type="dxa"/>
          </w:tblCellMar>
        </w:tblPrEx>
        <w:trPr>
          <w:trHeight w:val="742" w:hRule="atLeast"/>
        </w:trPr>
        <w:tc>
          <w:tcPr>
            <w:tcW w:w="2693" w:type="dxa"/>
            <w:tcBorders>
              <w:top w:val="single" w:color="auto" w:sz="4" w:space="0"/>
              <w:left w:val="single" w:color="auto" w:sz="4" w:space="0"/>
              <w:bottom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Ответственный исполнитель подпрограммы</w:t>
            </w:r>
          </w:p>
        </w:tc>
        <w:tc>
          <w:tcPr>
            <w:tcW w:w="359" w:type="dxa"/>
            <w:tcBorders>
              <w:top w:val="single" w:color="auto" w:sz="4" w:space="0"/>
              <w:left w:val="single" w:color="auto" w:sz="4" w:space="0"/>
              <w:bottom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bottom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Администрация Кривошеевского сельсовета Нижнеломовского района Пензенской области</w:t>
            </w:r>
          </w:p>
        </w:tc>
      </w:tr>
      <w:tr>
        <w:tblPrEx>
          <w:tblLayout w:type="fixed"/>
          <w:tblCellMar>
            <w:top w:w="102" w:type="dxa"/>
            <w:left w:w="62" w:type="dxa"/>
            <w:bottom w:w="102" w:type="dxa"/>
            <w:right w:w="62" w:type="dxa"/>
          </w:tblCellMar>
        </w:tblPrEx>
        <w:trPr>
          <w:trHeight w:val="1005" w:hRule="atLeast"/>
        </w:trPr>
        <w:tc>
          <w:tcPr>
            <w:tcW w:w="2693"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Цели подпрограммы</w:t>
            </w:r>
          </w:p>
        </w:tc>
        <w:tc>
          <w:tcPr>
            <w:tcW w:w="359"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eastAsia="SimSun" w:cs="Times New Roman"/>
                <w:sz w:val="22"/>
                <w:szCs w:val="22"/>
              </w:rPr>
              <w:t>Улучшение</w:t>
            </w:r>
            <w:r>
              <w:rPr>
                <w:rFonts w:hint="default" w:ascii="Times New Roman" w:hAnsi="Times New Roman" w:cs="Times New Roman"/>
                <w:sz w:val="22"/>
                <w:szCs w:val="22"/>
              </w:rPr>
              <w:tab/>
            </w:r>
            <w:r>
              <w:rPr>
                <w:rFonts w:hint="default" w:ascii="Times New Roman" w:hAnsi="Times New Roman" w:cs="Times New Roman"/>
                <w:sz w:val="22"/>
                <w:szCs w:val="22"/>
              </w:rPr>
              <w:t>жилищных</w:t>
            </w:r>
            <w:r>
              <w:rPr>
                <w:rFonts w:hint="default" w:ascii="Times New Roman" w:hAnsi="Times New Roman" w:cs="Times New Roman"/>
                <w:sz w:val="22"/>
                <w:szCs w:val="22"/>
              </w:rPr>
              <w:tab/>
            </w:r>
            <w:r>
              <w:rPr>
                <w:rFonts w:hint="default" w:ascii="Times New Roman" w:hAnsi="Times New Roman" w:cs="Times New Roman"/>
                <w:sz w:val="22"/>
                <w:szCs w:val="22"/>
              </w:rPr>
              <w:t>условий</w:t>
            </w:r>
            <w:r>
              <w:rPr>
                <w:rFonts w:hint="default" w:ascii="Times New Roman" w:hAnsi="Times New Roman" w:cs="Times New Roman"/>
                <w:sz w:val="22"/>
                <w:szCs w:val="22"/>
              </w:rPr>
              <w:tab/>
            </w:r>
            <w:r>
              <w:rPr>
                <w:rFonts w:hint="default" w:ascii="Times New Roman" w:hAnsi="Times New Roman" w:cs="Times New Roman"/>
                <w:sz w:val="22"/>
                <w:szCs w:val="22"/>
              </w:rPr>
              <w:t>граждан,</w:t>
            </w:r>
          </w:p>
          <w:p>
            <w:pPr>
              <w:jc w:val="both"/>
              <w:rPr>
                <w:rFonts w:hint="default" w:ascii="Times New Roman" w:hAnsi="Times New Roman" w:cs="Times New Roman"/>
                <w:sz w:val="22"/>
                <w:szCs w:val="22"/>
              </w:rPr>
            </w:pPr>
            <w:r>
              <w:rPr>
                <w:rFonts w:hint="default" w:ascii="Times New Roman" w:hAnsi="Times New Roman" w:cs="Times New Roman"/>
                <w:sz w:val="22"/>
                <w:szCs w:val="22"/>
              </w:rPr>
              <w:t>проживающих на сельских территориях</w:t>
            </w:r>
          </w:p>
          <w:p>
            <w:pPr>
              <w:jc w:val="both"/>
              <w:rPr>
                <w:rFonts w:hint="default" w:ascii="Times New Roman" w:hAnsi="Times New Roman" w:cs="Times New Roman"/>
                <w:sz w:val="22"/>
                <w:szCs w:val="22"/>
              </w:rPr>
            </w:pPr>
            <w:r>
              <w:rPr>
                <w:rFonts w:hint="default" w:ascii="Times New Roman" w:hAnsi="Times New Roman" w:cs="Times New Roman"/>
                <w:sz w:val="22"/>
                <w:szCs w:val="22"/>
              </w:rPr>
              <w:t>обеспечение создания комфортных условий жизнедеятельности в сельской местности</w:t>
            </w:r>
          </w:p>
        </w:tc>
      </w:tr>
      <w:tr>
        <w:tblPrEx>
          <w:tblLayout w:type="fixed"/>
          <w:tblCellMar>
            <w:top w:w="102" w:type="dxa"/>
            <w:left w:w="62" w:type="dxa"/>
            <w:bottom w:w="102" w:type="dxa"/>
            <w:right w:w="62" w:type="dxa"/>
          </w:tblCellMar>
        </w:tblPrEx>
        <w:trPr>
          <w:trHeight w:val="632" w:hRule="atLeast"/>
        </w:trPr>
        <w:tc>
          <w:tcPr>
            <w:tcW w:w="2693"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Задачи подпрограммы</w:t>
            </w:r>
          </w:p>
        </w:tc>
        <w:tc>
          <w:tcPr>
            <w:tcW w:w="359"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удовлетворение потребностей сельского населения в благоустроенном жилье</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vAlign w:val="top"/>
          </w:tcPr>
          <w:p>
            <w:pPr>
              <w:jc w:val="left"/>
              <w:rPr>
                <w:rFonts w:hint="default" w:ascii="Times New Roman" w:hAnsi="Times New Roman" w:cs="Times New Roman"/>
                <w:sz w:val="22"/>
                <w:szCs w:val="22"/>
              </w:rPr>
            </w:pPr>
            <w:r>
              <w:rPr>
                <w:rFonts w:hint="default" w:ascii="Times New Roman" w:hAnsi="Times New Roman" w:cs="Times New Roman"/>
                <w:sz w:val="22"/>
                <w:szCs w:val="22"/>
              </w:rPr>
              <w:t>Целевые показатели подпрограммы</w:t>
            </w:r>
          </w:p>
        </w:tc>
        <w:tc>
          <w:tcPr>
            <w:tcW w:w="359" w:type="dxa"/>
            <w:tcBorders>
              <w:top w:val="single" w:color="auto" w:sz="4" w:space="0"/>
              <w:left w:val="single" w:color="auto" w:sz="4" w:space="0"/>
              <w:bottom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bottom w:val="single" w:color="auto" w:sz="4" w:space="0"/>
              <w:right w:val="single" w:color="auto" w:sz="4" w:space="0"/>
            </w:tcBorders>
            <w:vAlign w:val="top"/>
          </w:tcPr>
          <w:p>
            <w:pPr>
              <w:jc w:val="both"/>
              <w:rPr>
                <w:rFonts w:hint="default" w:ascii="Times New Roman" w:hAnsi="Times New Roman" w:cs="Times New Roman"/>
                <w:sz w:val="22"/>
                <w:szCs w:val="22"/>
              </w:rPr>
            </w:pPr>
            <w:r>
              <w:rPr>
                <w:rFonts w:hint="default" w:ascii="Times New Roman" w:hAnsi="Times New Roman" w:cs="Times New Roman"/>
                <w:sz w:val="22"/>
                <w:szCs w:val="22"/>
              </w:rPr>
              <w:t>Ввод (приобретение) жилья для граждан, проживающих на сельских территориях, тыс. кв. м;</w:t>
            </w:r>
          </w:p>
          <w:p>
            <w:pPr>
              <w:jc w:val="both"/>
              <w:rPr>
                <w:rFonts w:hint="default" w:ascii="Times New Roman" w:hAnsi="Times New Roman" w:cs="Times New Roman"/>
                <w:sz w:val="22"/>
                <w:szCs w:val="22"/>
              </w:rPr>
            </w:pPr>
            <w:r>
              <w:rPr>
                <w:rFonts w:hint="default" w:ascii="Times New Roman" w:hAnsi="Times New Roman" w:cs="Times New Roman"/>
                <w:sz w:val="22"/>
                <w:szCs w:val="22"/>
              </w:rPr>
              <w:t>Ввод жилья, предоставленного гражданам по договорам найма жилого помещения, тыс. кв. м</w:t>
            </w:r>
          </w:p>
        </w:tc>
      </w:tr>
      <w:tr>
        <w:tblPrEx>
          <w:tblLayout w:type="fixed"/>
          <w:tblCellMar>
            <w:top w:w="102" w:type="dxa"/>
            <w:left w:w="62" w:type="dxa"/>
            <w:bottom w:w="102" w:type="dxa"/>
            <w:right w:w="62" w:type="dxa"/>
          </w:tblCellMar>
        </w:tblPrEx>
        <w:trPr>
          <w:trHeight w:val="609" w:hRule="atLeast"/>
        </w:trPr>
        <w:tc>
          <w:tcPr>
            <w:tcW w:w="269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Сроки и этапы реализации подпрограммы</w:t>
            </w:r>
          </w:p>
        </w:tc>
        <w:tc>
          <w:tcPr>
            <w:tcW w:w="359"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Сроки реализации муниципальной Программы 2020-2025 годы.</w:t>
            </w:r>
          </w:p>
        </w:tc>
      </w:tr>
      <w:tr>
        <w:tblPrEx>
          <w:tblLayout w:type="fixed"/>
          <w:tblCellMar>
            <w:top w:w="102" w:type="dxa"/>
            <w:left w:w="62" w:type="dxa"/>
            <w:bottom w:w="102" w:type="dxa"/>
            <w:right w:w="62" w:type="dxa"/>
          </w:tblCellMar>
        </w:tblPrEx>
        <w:trPr>
          <w:trHeight w:val="1254" w:hRule="atLeast"/>
        </w:trPr>
        <w:tc>
          <w:tcPr>
            <w:tcW w:w="269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Объем и источники финансирования подпрограммы (по годам)</w:t>
            </w:r>
          </w:p>
        </w:tc>
        <w:tc>
          <w:tcPr>
            <w:tcW w:w="359"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p>
        </w:tc>
        <w:tc>
          <w:tcPr>
            <w:tcW w:w="6710"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b/>
                <w:bCs/>
                <w:sz w:val="22"/>
                <w:szCs w:val="22"/>
              </w:rPr>
              <w:t>Общий объем финансирования подпрограммы 2020-2025 г.г. 51</w:t>
            </w:r>
            <w:r>
              <w:rPr>
                <w:rFonts w:hint="default" w:ascii="Times New Roman" w:hAnsi="Times New Roman" w:cs="Times New Roman"/>
                <w:b/>
                <w:bCs/>
                <w:sz w:val="22"/>
                <w:szCs w:val="22"/>
                <w:lang w:val="ru-RU"/>
              </w:rPr>
              <w:t>1</w:t>
            </w:r>
            <w:r>
              <w:rPr>
                <w:rFonts w:hint="default" w:ascii="Times New Roman" w:hAnsi="Times New Roman" w:cs="Times New Roman"/>
                <w:b/>
                <w:bCs/>
                <w:sz w:val="22"/>
                <w:szCs w:val="22"/>
              </w:rPr>
              <w:t xml:space="preserve"> </w:t>
            </w:r>
            <w:r>
              <w:rPr>
                <w:rFonts w:hint="default" w:cs="Times New Roman"/>
                <w:b/>
                <w:bCs/>
                <w:sz w:val="22"/>
                <w:szCs w:val="22"/>
                <w:lang w:val="ru-RU"/>
              </w:rPr>
              <w:t>1155497,1</w:t>
            </w:r>
            <w:r>
              <w:rPr>
                <w:rFonts w:hint="default" w:ascii="Times New Roman" w:hAnsi="Times New Roman" w:cs="Times New Roman"/>
                <w:b/>
                <w:bCs/>
                <w:sz w:val="22"/>
                <w:szCs w:val="22"/>
              </w:rPr>
              <w:t xml:space="preserve"> тыс.рублей в том числе по годам реализации:</w:t>
            </w:r>
            <w:r>
              <w:rPr>
                <w:rFonts w:hint="default" w:ascii="Times New Roman" w:hAnsi="Times New Roman" w:cs="Times New Roman"/>
                <w:sz w:val="22"/>
                <w:szCs w:val="22"/>
              </w:rPr>
              <w:t xml:space="preserve">                                                                 2020 год  -  38</w:t>
            </w:r>
            <w:r>
              <w:rPr>
                <w:rFonts w:hint="default" w:ascii="Times New Roman" w:hAnsi="Times New Roman" w:cs="Times New Roman"/>
                <w:sz w:val="22"/>
                <w:szCs w:val="22"/>
                <w:lang w:val="ru-RU"/>
              </w:rPr>
              <w:t>7587,9</w:t>
            </w:r>
            <w:r>
              <w:rPr>
                <w:rFonts w:hint="default" w:ascii="Times New Roman" w:hAnsi="Times New Roman" w:cs="Times New Roman"/>
                <w:sz w:val="22"/>
                <w:szCs w:val="22"/>
              </w:rPr>
              <w:t xml:space="preserve">   тыс.рублей                                                                 2021 год  -  </w:t>
            </w:r>
            <w:r>
              <w:rPr>
                <w:rFonts w:hint="default" w:cs="Times New Roman"/>
                <w:sz w:val="22"/>
                <w:szCs w:val="22"/>
                <w:lang w:val="ru-RU"/>
              </w:rPr>
              <w:t>221389,0</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2022 год  -  </w:t>
            </w:r>
            <w:r>
              <w:rPr>
                <w:rFonts w:hint="default" w:cs="Times New Roman"/>
                <w:sz w:val="22"/>
                <w:szCs w:val="22"/>
                <w:lang w:val="ru-RU"/>
              </w:rPr>
              <w:t>276585,4</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2023 год  -  </w:t>
            </w:r>
            <w:r>
              <w:rPr>
                <w:rFonts w:hint="default" w:cs="Times New Roman"/>
                <w:sz w:val="22"/>
                <w:szCs w:val="22"/>
                <w:lang w:val="ru-RU"/>
              </w:rPr>
              <w:t>269934,8</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2024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2025 год  -  0,0    тыс.рублей</w:t>
            </w:r>
          </w:p>
          <w:p>
            <w:pPr>
              <w:rPr>
                <w:rFonts w:hint="default" w:ascii="Times New Roman" w:hAnsi="Times New Roman" w:cs="Times New Roman"/>
                <w:sz w:val="22"/>
                <w:szCs w:val="22"/>
              </w:rPr>
            </w:pPr>
            <w:r>
              <w:rPr>
                <w:rFonts w:hint="default" w:ascii="Times New Roman" w:hAnsi="Times New Roman" w:cs="Times New Roman"/>
                <w:b/>
                <w:bCs/>
                <w:sz w:val="22"/>
                <w:szCs w:val="22"/>
              </w:rPr>
              <w:t xml:space="preserve">Объем финансирования подпрограммы  из федерального бюджета   </w:t>
            </w:r>
            <w:r>
              <w:rPr>
                <w:rFonts w:hint="default" w:cs="Times New Roman"/>
                <w:b/>
                <w:bCs/>
                <w:sz w:val="22"/>
                <w:szCs w:val="22"/>
                <w:lang w:val="ru-RU"/>
              </w:rPr>
              <w:t>1043297,3</w:t>
            </w:r>
            <w:r>
              <w:rPr>
                <w:rFonts w:hint="default" w:ascii="Times New Roman" w:hAnsi="Times New Roman" w:cs="Times New Roman"/>
                <w:b/>
                <w:bCs/>
                <w:sz w:val="22"/>
                <w:szCs w:val="22"/>
              </w:rPr>
              <w:t xml:space="preserve">  тыс.рублей в том числе по годам реализации:  </w:t>
            </w:r>
            <w:r>
              <w:rPr>
                <w:rFonts w:hint="default" w:ascii="Times New Roman" w:hAnsi="Times New Roman" w:cs="Times New Roman"/>
                <w:sz w:val="22"/>
                <w:szCs w:val="22"/>
              </w:rPr>
              <w:t xml:space="preserve">                                                             </w:t>
            </w:r>
          </w:p>
          <w:p>
            <w:pPr>
              <w:rPr>
                <w:rFonts w:hint="default" w:ascii="Times New Roman" w:hAnsi="Times New Roman" w:cs="Times New Roman"/>
                <w:sz w:val="22"/>
                <w:szCs w:val="22"/>
              </w:rPr>
            </w:pPr>
            <w:r>
              <w:rPr>
                <w:rFonts w:hint="default" w:ascii="Times New Roman" w:hAnsi="Times New Roman" w:cs="Times New Roman"/>
                <w:sz w:val="22"/>
                <w:szCs w:val="22"/>
              </w:rPr>
              <w:t>2020 год  -  28</w:t>
            </w:r>
            <w:r>
              <w:rPr>
                <w:rFonts w:hint="default" w:ascii="Times New Roman" w:hAnsi="Times New Roman" w:cs="Times New Roman"/>
                <w:sz w:val="22"/>
                <w:szCs w:val="22"/>
                <w:lang w:val="ru-RU"/>
              </w:rPr>
              <w:t>3829,5</w:t>
            </w:r>
            <w:r>
              <w:rPr>
                <w:rFonts w:hint="default" w:ascii="Times New Roman" w:hAnsi="Times New Roman" w:cs="Times New Roman"/>
                <w:sz w:val="22"/>
                <w:szCs w:val="22"/>
              </w:rPr>
              <w:t xml:space="preserve">   тыс.рублей                                                                 2021 год  -  </w:t>
            </w:r>
            <w:r>
              <w:rPr>
                <w:rFonts w:hint="default" w:cs="Times New Roman"/>
                <w:sz w:val="22"/>
                <w:szCs w:val="22"/>
                <w:lang w:val="ru-RU"/>
              </w:rPr>
              <w:t>218412,8</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2022 год  -  </w:t>
            </w:r>
            <w:r>
              <w:rPr>
                <w:rFonts w:hint="default" w:cs="Times New Roman"/>
                <w:sz w:val="22"/>
                <w:szCs w:val="22"/>
                <w:lang w:val="ru-RU"/>
              </w:rPr>
              <w:t>273819,5</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2023 год  - </w:t>
            </w:r>
            <w:r>
              <w:rPr>
                <w:rFonts w:hint="default" w:cs="Times New Roman"/>
                <w:sz w:val="22"/>
                <w:szCs w:val="22"/>
                <w:lang w:val="ru-RU"/>
              </w:rPr>
              <w:t xml:space="preserve"> 267235,5</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2024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2025 год  -  0,0    тыс.рублей</w:t>
            </w:r>
          </w:p>
          <w:p>
            <w:pPr>
              <w:rPr>
                <w:rFonts w:hint="default" w:ascii="Times New Roman" w:hAnsi="Times New Roman" w:cs="Times New Roman"/>
                <w:sz w:val="22"/>
                <w:szCs w:val="22"/>
              </w:rPr>
            </w:pPr>
            <w:r>
              <w:rPr>
                <w:rFonts w:hint="default" w:ascii="Times New Roman" w:hAnsi="Times New Roman" w:cs="Times New Roman"/>
                <w:b/>
                <w:bCs/>
                <w:sz w:val="22"/>
                <w:szCs w:val="22"/>
              </w:rPr>
              <w:t xml:space="preserve">Объем финансирования подпрограммы  из бюджета   Пензенской области  </w:t>
            </w:r>
            <w:r>
              <w:rPr>
                <w:rFonts w:hint="default" w:cs="Times New Roman"/>
                <w:b/>
                <w:bCs/>
                <w:sz w:val="22"/>
                <w:szCs w:val="22"/>
                <w:lang w:val="ru-RU"/>
              </w:rPr>
              <w:t>32352,2</w:t>
            </w:r>
            <w:r>
              <w:rPr>
                <w:rFonts w:hint="default" w:ascii="Times New Roman" w:hAnsi="Times New Roman" w:cs="Times New Roman"/>
                <w:b/>
                <w:bCs/>
                <w:sz w:val="22"/>
                <w:szCs w:val="22"/>
              </w:rPr>
              <w:t xml:space="preserve"> тыс.рублей в том числе по годам реализации</w:t>
            </w:r>
            <w:r>
              <w:rPr>
                <w:rFonts w:hint="default" w:ascii="Times New Roman" w:hAnsi="Times New Roman" w:cs="Times New Roman"/>
                <w:sz w:val="22"/>
                <w:szCs w:val="22"/>
              </w:rPr>
              <w:t xml:space="preserve">: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2020 год  -  24</w:t>
            </w:r>
            <w:r>
              <w:rPr>
                <w:rFonts w:hint="default" w:ascii="Times New Roman" w:hAnsi="Times New Roman" w:cs="Times New Roman"/>
                <w:sz w:val="22"/>
                <w:szCs w:val="22"/>
                <w:lang w:val="ru-RU"/>
              </w:rPr>
              <w:t>680</w:t>
            </w:r>
            <w:r>
              <w:rPr>
                <w:rFonts w:hint="default" w:ascii="Times New Roman" w:hAnsi="Times New Roman" w:cs="Times New Roman"/>
                <w:sz w:val="22"/>
                <w:szCs w:val="22"/>
              </w:rPr>
              <w:t xml:space="preserve">,0   тыс.рублей                                                                 2021 год  -  </w:t>
            </w:r>
            <w:r>
              <w:rPr>
                <w:rFonts w:hint="default" w:cs="Times New Roman"/>
                <w:sz w:val="22"/>
                <w:szCs w:val="22"/>
                <w:lang w:val="ru-RU"/>
              </w:rPr>
              <w:t>2206,2</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2022 год  -  </w:t>
            </w:r>
            <w:r>
              <w:rPr>
                <w:rFonts w:hint="default" w:cs="Times New Roman"/>
                <w:sz w:val="22"/>
                <w:szCs w:val="22"/>
                <w:lang w:val="ru-RU"/>
              </w:rPr>
              <w:t>2765,9</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2023 год  -  </w:t>
            </w:r>
            <w:r>
              <w:rPr>
                <w:rFonts w:hint="default" w:cs="Times New Roman"/>
                <w:sz w:val="22"/>
                <w:szCs w:val="22"/>
                <w:lang w:val="ru-RU"/>
              </w:rPr>
              <w:t>2699,3</w:t>
            </w:r>
            <w:r>
              <w:rPr>
                <w:rFonts w:hint="default" w:ascii="Times New Roman" w:hAnsi="Times New Roman" w:cs="Times New Roman"/>
                <w:sz w:val="22"/>
                <w:szCs w:val="22"/>
              </w:rPr>
              <w:t xml:space="preserve">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2024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2025 год  -  0,0    тыс.рублей</w:t>
            </w:r>
          </w:p>
          <w:p>
            <w:pPr>
              <w:rPr>
                <w:rFonts w:hint="default" w:ascii="Times New Roman" w:hAnsi="Times New Roman" w:cs="Times New Roman"/>
                <w:b/>
                <w:bCs/>
                <w:sz w:val="22"/>
                <w:szCs w:val="22"/>
              </w:rPr>
            </w:pPr>
            <w:r>
              <w:rPr>
                <w:rFonts w:hint="default" w:ascii="Times New Roman" w:hAnsi="Times New Roman" w:cs="Times New Roman"/>
                <w:b/>
                <w:bCs/>
                <w:sz w:val="22"/>
                <w:szCs w:val="22"/>
              </w:rPr>
              <w:t xml:space="preserve">Объем финансирования подпрограммы  из бюджета Кривошеевского сельсовета   Нижнеломовского района  </w:t>
            </w:r>
          </w:p>
          <w:p>
            <w:pPr>
              <w:rPr>
                <w:rFonts w:hint="default" w:ascii="Times New Roman" w:hAnsi="Times New Roman" w:cs="Times New Roman"/>
                <w:sz w:val="22"/>
                <w:szCs w:val="22"/>
              </w:rPr>
            </w:pPr>
            <w:r>
              <w:rPr>
                <w:rFonts w:hint="default" w:ascii="Times New Roman" w:hAnsi="Times New Roman" w:cs="Times New Roman"/>
                <w:b/>
                <w:bCs/>
                <w:sz w:val="22"/>
                <w:szCs w:val="22"/>
              </w:rPr>
              <w:t>7</w:t>
            </w:r>
            <w:r>
              <w:rPr>
                <w:rFonts w:hint="default" w:ascii="Times New Roman" w:hAnsi="Times New Roman" w:cs="Times New Roman"/>
                <w:b/>
                <w:bCs/>
                <w:sz w:val="22"/>
                <w:szCs w:val="22"/>
                <w:lang w:val="ru-RU"/>
              </w:rPr>
              <w:t>9</w:t>
            </w:r>
            <w:r>
              <w:rPr>
                <w:rFonts w:hint="default" w:ascii="Times New Roman" w:hAnsi="Times New Roman" w:cs="Times New Roman"/>
                <w:b/>
                <w:bCs/>
                <w:sz w:val="22"/>
                <w:szCs w:val="22"/>
              </w:rPr>
              <w:t xml:space="preserve"> </w:t>
            </w:r>
            <w:r>
              <w:rPr>
                <w:rFonts w:hint="default" w:cs="Times New Roman"/>
                <w:b/>
                <w:bCs/>
                <w:sz w:val="22"/>
                <w:szCs w:val="22"/>
                <w:lang w:val="ru-RU"/>
              </w:rPr>
              <w:t>84</w:t>
            </w:r>
            <w:r>
              <w:rPr>
                <w:rFonts w:hint="default" w:ascii="Times New Roman" w:hAnsi="Times New Roman" w:cs="Times New Roman"/>
                <w:b/>
                <w:bCs/>
                <w:sz w:val="22"/>
                <w:szCs w:val="22"/>
                <w:lang w:val="ru-RU"/>
              </w:rPr>
              <w:t>7</w:t>
            </w:r>
            <w:r>
              <w:rPr>
                <w:rFonts w:hint="default" w:ascii="Times New Roman" w:hAnsi="Times New Roman" w:cs="Times New Roman"/>
                <w:b/>
                <w:bCs/>
                <w:sz w:val="22"/>
                <w:szCs w:val="22"/>
              </w:rPr>
              <w:t>,6  тыс.рублей в том числе по годам реализации:</w:t>
            </w:r>
            <w:r>
              <w:rPr>
                <w:rFonts w:hint="default" w:ascii="Times New Roman" w:hAnsi="Times New Roman" w:cs="Times New Roman"/>
                <w:sz w:val="22"/>
                <w:szCs w:val="22"/>
              </w:rPr>
              <w:t xml:space="preserve">                                                                 2020 год  -  7</w:t>
            </w:r>
            <w:r>
              <w:rPr>
                <w:rFonts w:hint="default" w:ascii="Times New Roman" w:hAnsi="Times New Roman" w:cs="Times New Roman"/>
                <w:sz w:val="22"/>
                <w:szCs w:val="22"/>
                <w:lang w:val="ru-RU"/>
              </w:rPr>
              <w:t>9</w:t>
            </w:r>
            <w:r>
              <w:rPr>
                <w:rFonts w:hint="default" w:ascii="Times New Roman" w:hAnsi="Times New Roman" w:cs="Times New Roman"/>
                <w:sz w:val="22"/>
                <w:szCs w:val="22"/>
              </w:rPr>
              <w:t xml:space="preserve"> </w:t>
            </w:r>
            <w:r>
              <w:rPr>
                <w:rFonts w:hint="default" w:ascii="Times New Roman" w:hAnsi="Times New Roman" w:cs="Times New Roman"/>
                <w:sz w:val="22"/>
                <w:szCs w:val="22"/>
                <w:lang w:val="ru-RU"/>
              </w:rPr>
              <w:t>077</w:t>
            </w:r>
            <w:r>
              <w:rPr>
                <w:rFonts w:hint="default" w:ascii="Times New Roman" w:hAnsi="Times New Roman" w:cs="Times New Roman"/>
                <w:sz w:val="22"/>
                <w:szCs w:val="22"/>
              </w:rPr>
              <w:t xml:space="preserve">,6   тыс.рублей                                                                 2021 год  -  </w:t>
            </w:r>
            <w:r>
              <w:rPr>
                <w:rFonts w:hint="default" w:cs="Times New Roman"/>
                <w:sz w:val="22"/>
                <w:szCs w:val="22"/>
                <w:lang w:val="ru-RU"/>
              </w:rPr>
              <w:t>77</w:t>
            </w:r>
            <w:r>
              <w:rPr>
                <w:rFonts w:hint="default" w:ascii="Times New Roman" w:hAnsi="Times New Roman" w:cs="Times New Roman"/>
                <w:sz w:val="22"/>
                <w:szCs w:val="22"/>
              </w:rPr>
              <w:t>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2022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2023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2024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2025 год  -  0,0    тыс.рублей</w:t>
            </w:r>
          </w:p>
          <w:p>
            <w:pPr>
              <w:rPr>
                <w:rFonts w:hint="default" w:ascii="Times New Roman" w:hAnsi="Times New Roman" w:cs="Times New Roman"/>
                <w:sz w:val="22"/>
                <w:szCs w:val="22"/>
              </w:rPr>
            </w:pPr>
            <w:r>
              <w:rPr>
                <w:rFonts w:hint="default" w:ascii="Times New Roman" w:hAnsi="Times New Roman" w:cs="Times New Roman"/>
                <w:b/>
                <w:bCs/>
                <w:sz w:val="22"/>
                <w:szCs w:val="22"/>
              </w:rPr>
              <w:t>Объем финансирования подпрограммы  из внебюджетных источников 0,0  тыс.рублей в том числе по годам реализации:</w:t>
            </w:r>
            <w:r>
              <w:rPr>
                <w:rFonts w:hint="default" w:ascii="Times New Roman" w:hAnsi="Times New Roman" w:cs="Times New Roman"/>
                <w:sz w:val="22"/>
                <w:szCs w:val="22"/>
              </w:rPr>
              <w:t xml:space="preserve">                                                                 </w:t>
            </w:r>
          </w:p>
          <w:p>
            <w:pPr>
              <w:rPr>
                <w:rFonts w:hint="default" w:ascii="Times New Roman" w:hAnsi="Times New Roman" w:cs="Times New Roman"/>
                <w:sz w:val="22"/>
                <w:szCs w:val="22"/>
              </w:rPr>
            </w:pPr>
            <w:r>
              <w:rPr>
                <w:rFonts w:hint="default" w:ascii="Times New Roman" w:hAnsi="Times New Roman" w:cs="Times New Roman"/>
                <w:sz w:val="22"/>
                <w:szCs w:val="22"/>
              </w:rPr>
              <w:t>2020 год  -  0,0   тыс.рублей                                                                 2021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2022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2023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2024 год  -  0,0    тыс.рублей</w:t>
            </w:r>
          </w:p>
          <w:p>
            <w:pPr>
              <w:rPr>
                <w:rFonts w:hint="default" w:ascii="Times New Roman" w:hAnsi="Times New Roman" w:cs="Times New Roman"/>
                <w:sz w:val="22"/>
                <w:szCs w:val="22"/>
              </w:rPr>
            </w:pPr>
            <w:r>
              <w:rPr>
                <w:rFonts w:hint="default" w:ascii="Times New Roman" w:hAnsi="Times New Roman" w:cs="Times New Roman"/>
                <w:sz w:val="22"/>
                <w:szCs w:val="22"/>
              </w:rPr>
              <w:t>2025 год  -  0,0    тыс.рублей</w:t>
            </w:r>
          </w:p>
        </w:tc>
      </w:tr>
      <w:tr>
        <w:tblPrEx>
          <w:tblLayout w:type="fixed"/>
          <w:tblCellMar>
            <w:top w:w="102" w:type="dxa"/>
            <w:left w:w="62" w:type="dxa"/>
            <w:bottom w:w="102" w:type="dxa"/>
            <w:right w:w="62" w:type="dxa"/>
          </w:tblCellMar>
        </w:tblPrEx>
        <w:tc>
          <w:tcPr>
            <w:tcW w:w="269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Ожидаемые результаты реализации муниципальной подпрограммы</w:t>
            </w:r>
          </w:p>
        </w:tc>
        <w:tc>
          <w:tcPr>
            <w:tcW w:w="359"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w:t>
            </w:r>
          </w:p>
        </w:tc>
        <w:tc>
          <w:tcPr>
            <w:tcW w:w="6710"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22"/>
                <w:szCs w:val="22"/>
              </w:rPr>
            </w:pPr>
            <w:r>
              <w:rPr>
                <w:rFonts w:hint="default" w:ascii="Times New Roman" w:hAnsi="Times New Roman" w:cs="Times New Roman"/>
                <w:sz w:val="22"/>
                <w:szCs w:val="22"/>
              </w:rPr>
              <w:t>Привлечение населения в Кривошеевский сельсовет и сохранение доли сельского населения.</w:t>
            </w:r>
          </w:p>
        </w:tc>
      </w:tr>
    </w:tbl>
    <w:p>
      <w:pPr>
        <w:pStyle w:val="66"/>
        <w:widowControl/>
        <w:ind w:right="360"/>
        <w:jc w:val="both"/>
        <w:outlineLvl w:val="0"/>
        <w:rPr>
          <w:rFonts w:ascii="Times New Roman" w:hAnsi="Times New Roman" w:cs="Times New Roman"/>
          <w:sz w:val="28"/>
          <w:szCs w:val="28"/>
        </w:rPr>
      </w:pPr>
    </w:p>
    <w:p>
      <w:pPr>
        <w:jc w:val="both"/>
        <w:rPr>
          <w:b/>
          <w:sz w:val="24"/>
          <w:szCs w:val="24"/>
        </w:rPr>
      </w:pPr>
    </w:p>
    <w:p>
      <w:pPr>
        <w:ind w:firstLine="709"/>
        <w:jc w:val="center"/>
        <w:rPr>
          <w:b/>
          <w:sz w:val="24"/>
          <w:szCs w:val="24"/>
        </w:rPr>
      </w:pPr>
      <w:r>
        <w:rPr>
          <w:b/>
          <w:sz w:val="24"/>
          <w:szCs w:val="24"/>
        </w:rPr>
        <w:t>Раздел</w:t>
      </w:r>
      <w:r>
        <w:rPr>
          <w:sz w:val="24"/>
          <w:szCs w:val="24"/>
        </w:rPr>
        <w:t xml:space="preserve"> </w:t>
      </w:r>
      <w:r>
        <w:rPr>
          <w:b/>
          <w:sz w:val="24"/>
          <w:szCs w:val="24"/>
        </w:rPr>
        <w:t>Характеристика проблемы и обоснование необходимости принятия Программы</w:t>
      </w:r>
    </w:p>
    <w:p>
      <w:pPr>
        <w:ind w:firstLine="709"/>
        <w:jc w:val="both"/>
        <w:rPr>
          <w:sz w:val="28"/>
          <w:szCs w:val="28"/>
        </w:rPr>
      </w:pPr>
    </w:p>
    <w:p>
      <w:pPr>
        <w:ind w:firstLine="709"/>
        <w:jc w:val="both"/>
        <w:rPr>
          <w:sz w:val="24"/>
          <w:szCs w:val="24"/>
        </w:rPr>
      </w:pPr>
      <w:r>
        <w:rPr>
          <w:sz w:val="24"/>
          <w:szCs w:val="24"/>
        </w:rPr>
        <w:t>На современном этапе развитию сельских территорий уделяется особое  внимание со стороны государства.</w:t>
      </w:r>
    </w:p>
    <w:p>
      <w:pPr>
        <w:ind w:firstLine="709"/>
        <w:jc w:val="both"/>
        <w:rPr>
          <w:sz w:val="24"/>
          <w:szCs w:val="24"/>
        </w:rPr>
      </w:pPr>
      <w:r>
        <w:rPr>
          <w:sz w:val="24"/>
          <w:szCs w:val="24"/>
        </w:rPr>
        <w:t xml:space="preserve">Решение задачи по повышению уровня и качества жизни населения, комплексному развитию сельских территорий, предусмотренной государственной программой Российской Федерации «Комплексное развитие сельских территорий», утвержденной постановлением Правительства Российской Федерации от 31.05.2019 № 696, требует принятия мер по созданию предпосылок для устойчивого развития сельских территорий путем: </w:t>
      </w:r>
    </w:p>
    <w:p>
      <w:pPr>
        <w:ind w:firstLine="709"/>
        <w:jc w:val="both"/>
        <w:rPr>
          <w:sz w:val="24"/>
          <w:szCs w:val="24"/>
        </w:rPr>
      </w:pPr>
    </w:p>
    <w:p>
      <w:pPr>
        <w:ind w:firstLine="709"/>
        <w:jc w:val="both"/>
        <w:rPr>
          <w:sz w:val="24"/>
          <w:szCs w:val="24"/>
        </w:rPr>
      </w:pPr>
      <w:r>
        <w:rPr>
          <w:sz w:val="24"/>
          <w:szCs w:val="24"/>
        </w:rPr>
        <w:t xml:space="preserve">- создания условий для обеспечения доступным и комфортным жильем сельского населения;                 </w:t>
      </w:r>
    </w:p>
    <w:p>
      <w:pPr>
        <w:ind w:firstLine="709"/>
        <w:jc w:val="both"/>
        <w:rPr>
          <w:sz w:val="24"/>
          <w:szCs w:val="24"/>
        </w:rPr>
      </w:pPr>
      <w:r>
        <w:rPr>
          <w:sz w:val="24"/>
          <w:szCs w:val="24"/>
        </w:rPr>
        <w:t>-   развитие рынка труда (кадрового потенциала) на сельских территориях;</w:t>
      </w:r>
    </w:p>
    <w:p>
      <w:pPr>
        <w:ind w:firstLine="709"/>
        <w:jc w:val="both"/>
        <w:rPr>
          <w:sz w:val="24"/>
          <w:szCs w:val="24"/>
        </w:rPr>
      </w:pPr>
      <w:r>
        <w:rPr>
          <w:sz w:val="24"/>
          <w:szCs w:val="24"/>
        </w:rPr>
        <w:t>-   создание и развитие инфраструктуры на сельских территориях;</w:t>
      </w:r>
    </w:p>
    <w:p>
      <w:pPr>
        <w:ind w:firstLine="709"/>
        <w:jc w:val="both"/>
        <w:rPr>
          <w:sz w:val="24"/>
          <w:szCs w:val="24"/>
        </w:rPr>
      </w:pPr>
      <w:r>
        <w:rPr>
          <w:sz w:val="24"/>
          <w:szCs w:val="24"/>
        </w:rPr>
        <w:t>В ходе экономических преобразований в аграрной сфере сформирован и наращивается производственный потенциал, дальнейшее эффективное развитие которого во многом зависит от стабильности развития сельских территорий, активизации человеческого фактора экономического роста. Наращивание социально-экономического потенциала сельских территорий, придание этому процессу  устойчивости и необратимости является стратегической задачей  государственной аграрной политики.</w:t>
      </w:r>
    </w:p>
    <w:p>
      <w:pPr>
        <w:ind w:firstLine="709"/>
        <w:jc w:val="both"/>
        <w:rPr>
          <w:sz w:val="24"/>
          <w:szCs w:val="24"/>
        </w:rPr>
      </w:pPr>
      <w:r>
        <w:rPr>
          <w:sz w:val="24"/>
          <w:szCs w:val="24"/>
        </w:rPr>
        <w:t>Дальнейшее повышение роли и конкурентоспособности отечественного аграрного сектора экономики, во многом зависит от улучшения качественных характеристик трудовых ресурсов в сельской местности, повышения уровня и качества жизни на селе, более полного использования имеющихся трудовых ресурсов, привлечения и закрепления высококвалифицированных кадров и в целом, решения проблемы кадрового обеспечения сельскохозяйственной отрасли с учетом неблагоприятных прогнозов на ближайшие годы в отношении демографической ситуации и формирования трудового ресурсного потенциала села.</w:t>
      </w:r>
    </w:p>
    <w:p>
      <w:pPr>
        <w:ind w:firstLine="709"/>
        <w:jc w:val="both"/>
        <w:rPr>
          <w:sz w:val="24"/>
          <w:szCs w:val="24"/>
        </w:rPr>
      </w:pPr>
      <w:r>
        <w:rPr>
          <w:sz w:val="24"/>
          <w:szCs w:val="24"/>
        </w:rPr>
        <w:t>Основными причинами исторически сложившейся неблагоприятной ситуации в комплексном развитии села являются остаточный принцип финансирования развития социальной и инженерной инфраструктуры в сельской местности, высокий уровень затратности комплексного развития сельских территорий в связи с мелкодисперсным характером сельского расселения.</w:t>
      </w:r>
    </w:p>
    <w:p>
      <w:pPr>
        <w:ind w:firstLine="709"/>
        <w:jc w:val="both"/>
        <w:rPr>
          <w:sz w:val="24"/>
          <w:szCs w:val="24"/>
        </w:rPr>
      </w:pPr>
      <w:r>
        <w:rPr>
          <w:sz w:val="24"/>
          <w:szCs w:val="24"/>
        </w:rPr>
        <w:t>Сокращение   и    измельчение  сельской поселенческой структуры  приводит к запустению   сельских   территорий,   выбытию    из   оборота продуктивных земель сельскохозяйственного назначения, что угрожает  не только продовольственной, но и геополитической безопасности России.</w:t>
      </w:r>
    </w:p>
    <w:p>
      <w:pPr>
        <w:ind w:firstLine="709"/>
        <w:jc w:val="both"/>
        <w:rPr>
          <w:sz w:val="24"/>
          <w:szCs w:val="24"/>
        </w:rPr>
      </w:pPr>
      <w:r>
        <w:rPr>
          <w:sz w:val="24"/>
          <w:szCs w:val="24"/>
        </w:rPr>
        <w:t>Одной из причин неблагоприятной ситуации в комплексном развитии села является также крайне низкий уровень комфортности проживания в сельской местности. Уровень обустройства сельского жилищного фонда в 2 – 3 раза ниже  городского уровня.</w:t>
      </w:r>
    </w:p>
    <w:p>
      <w:pPr>
        <w:ind w:firstLine="709"/>
        <w:jc w:val="both"/>
        <w:rPr>
          <w:sz w:val="24"/>
          <w:szCs w:val="24"/>
        </w:rPr>
      </w:pPr>
      <w:r>
        <w:rPr>
          <w:sz w:val="24"/>
          <w:szCs w:val="24"/>
        </w:rPr>
        <w:t>Низкий уровень комфортности проживания в сельской местности влияет на миграционные настроения сельского населения, особенно молодежи. Соответственно, сокращается источник расширенного воспроизводства трудового ресурсного потенциала аграрной отрасли.</w:t>
      </w:r>
    </w:p>
    <w:p>
      <w:pPr>
        <w:ind w:firstLine="709"/>
        <w:jc w:val="both"/>
        <w:rPr>
          <w:sz w:val="24"/>
          <w:szCs w:val="24"/>
        </w:rPr>
      </w:pPr>
      <w:r>
        <w:rPr>
          <w:sz w:val="24"/>
          <w:szCs w:val="24"/>
        </w:rPr>
        <w:t>Для обеспечения социально-экономического развития сельских территорий и создания условий эффективного функционирования агропромышленного производства было принято решение усилить государственную поддержку социального и инженерного обустройства населенных пунктов, расположенных в сельской местности.</w:t>
      </w:r>
    </w:p>
    <w:p>
      <w:pPr>
        <w:ind w:firstLine="709"/>
        <w:jc w:val="both"/>
        <w:rPr>
          <w:sz w:val="24"/>
          <w:szCs w:val="24"/>
        </w:rPr>
      </w:pPr>
      <w:r>
        <w:rPr>
          <w:sz w:val="24"/>
          <w:szCs w:val="24"/>
        </w:rPr>
        <w:t>С учетом, объективных особенностей развития сельских территорий, и имеющегося значительного разрыва в уровне и качестве жизни на селе по сравнению с городскими территориями, достижение прогресса в изменении сложившейся ситуации возможно только на условиях использования программно-целевого метода, в том числе постановки задачи, определения путей ее решения с привлечением средств государственной поддержки на федеральном уровне.</w:t>
      </w:r>
    </w:p>
    <w:p>
      <w:pPr>
        <w:ind w:firstLine="709"/>
        <w:jc w:val="both"/>
        <w:rPr>
          <w:sz w:val="24"/>
          <w:szCs w:val="24"/>
        </w:rPr>
      </w:pPr>
      <w:r>
        <w:rPr>
          <w:sz w:val="24"/>
          <w:szCs w:val="24"/>
        </w:rPr>
        <w:t>Исходя из задач государственной политики на ближайший период и долгосрочную перспективу, для преодоления критического положения в сфере социального развития села необходимо проводить комплекс взаимоувязанных мероприятий, направленных на социальное развитие, осуществляемых в сельских поселениях. Таким образом, необходимость разработки и реализации Программы обусловлена:</w:t>
      </w:r>
    </w:p>
    <w:p>
      <w:pPr>
        <w:ind w:firstLine="709"/>
        <w:jc w:val="both"/>
        <w:rPr>
          <w:sz w:val="24"/>
          <w:szCs w:val="24"/>
        </w:rPr>
      </w:pPr>
      <w:r>
        <w:rPr>
          <w:sz w:val="24"/>
          <w:szCs w:val="24"/>
        </w:rPr>
        <w:t>- потребностью формирования базовых условий социального комфорта для расширенного воспроизводства и закрепления трудовых ресурсов, обеспечивающих эффективное решение стратегических задач, а также необходимостью обеспечения комплексного развития сельских территорий.</w:t>
      </w:r>
    </w:p>
    <w:p>
      <w:pPr>
        <w:ind w:firstLine="709"/>
        <w:jc w:val="both"/>
        <w:rPr>
          <w:sz w:val="28"/>
          <w:szCs w:val="28"/>
        </w:rPr>
      </w:pPr>
    </w:p>
    <w:p>
      <w:pPr>
        <w:ind w:firstLine="709"/>
        <w:jc w:val="center"/>
        <w:rPr>
          <w:b/>
          <w:sz w:val="28"/>
          <w:szCs w:val="28"/>
        </w:rPr>
      </w:pPr>
    </w:p>
    <w:p>
      <w:pPr>
        <w:ind w:firstLine="709"/>
        <w:jc w:val="center"/>
        <w:rPr>
          <w:b/>
          <w:sz w:val="28"/>
          <w:szCs w:val="28"/>
        </w:rPr>
      </w:pPr>
    </w:p>
    <w:p>
      <w:pPr>
        <w:ind w:firstLine="709"/>
        <w:jc w:val="center"/>
        <w:rPr>
          <w:sz w:val="28"/>
          <w:szCs w:val="28"/>
        </w:rPr>
      </w:pPr>
      <w:r>
        <w:rPr>
          <w:b/>
          <w:sz w:val="28"/>
          <w:szCs w:val="28"/>
        </w:rPr>
        <w:t>Основные цели и задачи Программы</w:t>
      </w:r>
    </w:p>
    <w:p>
      <w:pPr>
        <w:ind w:firstLine="709"/>
        <w:jc w:val="both"/>
        <w:rPr>
          <w:sz w:val="24"/>
          <w:szCs w:val="24"/>
        </w:rPr>
      </w:pPr>
      <w:r>
        <w:rPr>
          <w:sz w:val="24"/>
          <w:szCs w:val="24"/>
        </w:rPr>
        <w:t>Программа является инструментом реализации государственной политики в области комплексного развития сельских территорий, направления которой определены Постановлением Правительства Российской Федерации от 31.05.2019 № 696  об утверждении государственной программы Российской Федерации «Комплексное развитие сельских территорий» и государственной программы Пензенской области, утвержденной постановлением Правительства пензенской области от 11.12.2019 №778-пП. В соответствии с указанными программами  целями государственной политики в области развития сельских территорий являются повышение уровня и качества жизни сельского населения, замедление процессов депопуляции и стабилизация численности сельского населения, создание благоприятных условий для выполнения селом его производственной и других общенациональных функций и задач территориального развития.</w:t>
      </w:r>
    </w:p>
    <w:p>
      <w:pPr>
        <w:ind w:firstLine="709"/>
        <w:jc w:val="both"/>
        <w:rPr>
          <w:sz w:val="24"/>
          <w:szCs w:val="24"/>
        </w:rPr>
      </w:pPr>
      <w:r>
        <w:rPr>
          <w:sz w:val="24"/>
          <w:szCs w:val="24"/>
        </w:rPr>
        <w:t>С учетом целевых установок данных программ реализация Программы направлена на создание предпосылок для комплексного развития сельских территорий посредством достижения следующих целей:</w:t>
      </w:r>
    </w:p>
    <w:p>
      <w:pPr>
        <w:ind w:firstLine="709"/>
        <w:jc w:val="both"/>
        <w:rPr>
          <w:sz w:val="24"/>
          <w:szCs w:val="24"/>
        </w:rPr>
      </w:pPr>
      <w:r>
        <w:rPr>
          <w:sz w:val="24"/>
          <w:szCs w:val="24"/>
        </w:rPr>
        <w:t>создание комфортных условий жизнедеятельности в сельской местности;</w:t>
      </w:r>
    </w:p>
    <w:p>
      <w:pPr>
        <w:ind w:firstLine="709"/>
        <w:jc w:val="both"/>
        <w:rPr>
          <w:sz w:val="24"/>
          <w:szCs w:val="24"/>
        </w:rPr>
      </w:pPr>
      <w:r>
        <w:rPr>
          <w:sz w:val="24"/>
          <w:szCs w:val="24"/>
        </w:rPr>
        <w:t>стимулирование инвестиционной активности в агропромышленном комплексе путем создания благоприятных инфраструктурных условий в сельской местности;</w:t>
      </w:r>
    </w:p>
    <w:p>
      <w:pPr>
        <w:ind w:firstLine="709"/>
        <w:jc w:val="both"/>
        <w:rPr>
          <w:sz w:val="24"/>
          <w:szCs w:val="24"/>
        </w:rPr>
      </w:pPr>
      <w:r>
        <w:rPr>
          <w:sz w:val="24"/>
          <w:szCs w:val="24"/>
        </w:rPr>
        <w:t>активизация участия граждан, проживающих в сельской местности, в реализации общественно значимых проектов;</w:t>
      </w:r>
    </w:p>
    <w:p>
      <w:pPr>
        <w:ind w:firstLine="709"/>
        <w:jc w:val="both"/>
        <w:rPr>
          <w:sz w:val="24"/>
          <w:szCs w:val="24"/>
        </w:rPr>
      </w:pPr>
      <w:r>
        <w:rPr>
          <w:sz w:val="24"/>
          <w:szCs w:val="24"/>
        </w:rPr>
        <w:t>формирование позитивного отношения к сельской местности и сельскому образу жизни.</w:t>
      </w:r>
    </w:p>
    <w:p>
      <w:pPr>
        <w:ind w:firstLine="709"/>
        <w:jc w:val="both"/>
        <w:rPr>
          <w:sz w:val="24"/>
          <w:szCs w:val="24"/>
        </w:rPr>
      </w:pPr>
      <w:r>
        <w:rPr>
          <w:sz w:val="24"/>
          <w:szCs w:val="24"/>
        </w:rPr>
        <w:t>Для достижения целей государственной политики в области устойчивого развития сельских территорий в рамках реализации Программы предусматривается решение следующих задач:</w:t>
      </w:r>
    </w:p>
    <w:p>
      <w:pPr>
        <w:ind w:firstLine="709"/>
        <w:jc w:val="both"/>
        <w:rPr>
          <w:sz w:val="24"/>
          <w:szCs w:val="24"/>
        </w:rPr>
      </w:pPr>
      <w:r>
        <w:rPr>
          <w:sz w:val="24"/>
          <w:szCs w:val="24"/>
        </w:rPr>
        <w:t>в области активизации участия граждан, проживающих в сельской местности, в реализации общественно значимых проектов – поддержка местных инициатив граждан, проживающих в сельской местности.</w:t>
      </w:r>
    </w:p>
    <w:p>
      <w:pPr>
        <w:ind w:firstLine="709"/>
        <w:jc w:val="both"/>
        <w:rPr>
          <w:sz w:val="24"/>
          <w:szCs w:val="24"/>
        </w:rPr>
      </w:pPr>
      <w:r>
        <w:rPr>
          <w:sz w:val="24"/>
          <w:szCs w:val="24"/>
        </w:rPr>
        <w:t>Обоснованием необходимости решения поставленных задач в сфере устойчивого развития сельских территорий для достижения целей Программы является:</w:t>
      </w:r>
    </w:p>
    <w:p>
      <w:pPr>
        <w:ind w:firstLine="709"/>
        <w:jc w:val="both"/>
        <w:rPr>
          <w:sz w:val="24"/>
          <w:szCs w:val="24"/>
        </w:rPr>
      </w:pPr>
      <w:r>
        <w:rPr>
          <w:sz w:val="24"/>
          <w:szCs w:val="24"/>
        </w:rPr>
        <w:t>-непривлекательность сельской местности как среды обитания и рост миграционных настроений, в том числе среди сельской молодежи;</w:t>
      </w:r>
    </w:p>
    <w:p>
      <w:pPr>
        <w:ind w:firstLine="709"/>
        <w:jc w:val="both"/>
        <w:rPr>
          <w:sz w:val="24"/>
          <w:szCs w:val="24"/>
        </w:rPr>
      </w:pPr>
      <w:r>
        <w:rPr>
          <w:sz w:val="24"/>
          <w:szCs w:val="24"/>
        </w:rPr>
        <w:t>-низкий уровень социальной активности сельского населения, не способствующий формированию активной гражданской позиции;</w:t>
      </w:r>
    </w:p>
    <w:p>
      <w:pPr>
        <w:ind w:firstLine="709"/>
        <w:jc w:val="both"/>
        <w:rPr>
          <w:sz w:val="24"/>
          <w:szCs w:val="24"/>
        </w:rPr>
      </w:pPr>
      <w:r>
        <w:rPr>
          <w:sz w:val="24"/>
          <w:szCs w:val="24"/>
        </w:rPr>
        <w:t>-отсутствие в обществе понимания значимости и перспектив развития сельских территорий.</w:t>
      </w:r>
    </w:p>
    <w:p>
      <w:pPr>
        <w:ind w:firstLine="709"/>
        <w:jc w:val="both"/>
        <w:rPr>
          <w:sz w:val="24"/>
          <w:szCs w:val="24"/>
        </w:rPr>
      </w:pPr>
      <w:r>
        <w:rPr>
          <w:sz w:val="24"/>
          <w:szCs w:val="24"/>
        </w:rPr>
        <w:t>Приоритетами Программы являются:</w:t>
      </w:r>
    </w:p>
    <w:p>
      <w:pPr>
        <w:ind w:firstLine="709"/>
        <w:jc w:val="both"/>
        <w:rPr>
          <w:sz w:val="24"/>
          <w:szCs w:val="24"/>
        </w:rPr>
      </w:pPr>
      <w:r>
        <w:rPr>
          <w:sz w:val="24"/>
          <w:szCs w:val="24"/>
        </w:rPr>
        <w:t>Улучшение социально-экономических и экологических условий жизнедеятельности сельского населения для формирования необходимой демографической и трудоресурсной базы;</w:t>
      </w:r>
    </w:p>
    <w:p>
      <w:pPr>
        <w:ind w:firstLine="709"/>
        <w:jc w:val="both"/>
        <w:rPr>
          <w:sz w:val="24"/>
          <w:szCs w:val="24"/>
        </w:rPr>
      </w:pPr>
      <w:r>
        <w:rPr>
          <w:sz w:val="24"/>
          <w:szCs w:val="24"/>
        </w:rPr>
        <w:t xml:space="preserve">Повышение заселенности сельских территорий, формирование сбалансированной системы расселения, сохранение многообразия типов сельских населенных пунктов и улучшение их жизнеобеспечения для повышения уровня и эффективности использования природных ресурсов.  </w:t>
      </w:r>
    </w:p>
    <w:p>
      <w:pPr>
        <w:ind w:firstLine="709"/>
        <w:jc w:val="both"/>
        <w:rPr>
          <w:sz w:val="24"/>
          <w:szCs w:val="24"/>
        </w:rPr>
      </w:pPr>
      <w:r>
        <w:rPr>
          <w:sz w:val="24"/>
          <w:szCs w:val="24"/>
        </w:rPr>
        <w:t xml:space="preserve"> В рамках Программы предполагается решение следующих задач:</w:t>
      </w:r>
    </w:p>
    <w:p>
      <w:pPr>
        <w:ind w:firstLine="709"/>
        <w:jc w:val="both"/>
        <w:rPr>
          <w:sz w:val="24"/>
          <w:szCs w:val="24"/>
        </w:rPr>
      </w:pPr>
      <w:r>
        <w:rPr>
          <w:sz w:val="24"/>
          <w:szCs w:val="24"/>
        </w:rPr>
        <w:t>Улучшение жилищных условий граждан, проживающих на сельских территориях;</w:t>
      </w:r>
    </w:p>
    <w:p>
      <w:pPr>
        <w:ind w:firstLine="709"/>
        <w:jc w:val="both"/>
        <w:rPr>
          <w:sz w:val="24"/>
          <w:szCs w:val="24"/>
        </w:rPr>
      </w:pPr>
      <w:r>
        <w:rPr>
          <w:sz w:val="24"/>
          <w:szCs w:val="24"/>
        </w:rPr>
        <w:t>Обеспечение занятости сельского населения;</w:t>
      </w:r>
    </w:p>
    <w:p>
      <w:pPr>
        <w:ind w:firstLine="709"/>
        <w:jc w:val="both"/>
        <w:rPr>
          <w:sz w:val="24"/>
          <w:szCs w:val="24"/>
        </w:rPr>
      </w:pPr>
      <w:r>
        <w:rPr>
          <w:sz w:val="24"/>
          <w:szCs w:val="24"/>
        </w:rPr>
        <w:t>Обеспечение создания комфортных условий жизнедеятельности в сельской местности.</w:t>
      </w:r>
    </w:p>
    <w:p>
      <w:pPr>
        <w:ind w:firstLine="709"/>
        <w:jc w:val="both"/>
        <w:rPr>
          <w:sz w:val="24"/>
          <w:szCs w:val="24"/>
        </w:rPr>
      </w:pPr>
      <w:r>
        <w:rPr>
          <w:sz w:val="24"/>
          <w:szCs w:val="24"/>
        </w:rPr>
        <w:t>Программа определяет цели, задачи, направления компексного развития сельских территорий, объема финансового обеспечения мероприятий, а также их целевые показатели.</w:t>
      </w:r>
    </w:p>
    <w:p>
      <w:pPr>
        <w:ind w:firstLine="709"/>
        <w:jc w:val="both"/>
        <w:rPr>
          <w:sz w:val="24"/>
          <w:szCs w:val="24"/>
        </w:rPr>
      </w:pPr>
      <w:r>
        <w:rPr>
          <w:sz w:val="24"/>
          <w:szCs w:val="24"/>
        </w:rPr>
        <w:t xml:space="preserve">Динамика развития сельских территорий будет формироваться под воздействием различных факторов. Объективные различия в уровне социально-экономического развития сельских и городских территорий будут являться основной причиной дальнейшей миграции сельского населения в город. Вместе с тем ряд решений, предусмотренных Программой по повышению качества жизни на сельских территориях, позволит замедлить данную </w:t>
      </w:r>
    </w:p>
    <w:p>
      <w:pPr>
        <w:ind w:firstLine="709"/>
        <w:jc w:val="both"/>
        <w:rPr>
          <w:sz w:val="24"/>
          <w:szCs w:val="24"/>
        </w:rPr>
      </w:pPr>
    </w:p>
    <w:p>
      <w:pPr>
        <w:ind w:firstLine="709"/>
        <w:jc w:val="both"/>
        <w:rPr>
          <w:sz w:val="28"/>
          <w:szCs w:val="28"/>
        </w:rPr>
      </w:pPr>
      <w:r>
        <w:rPr>
          <w:sz w:val="24"/>
          <w:szCs w:val="24"/>
        </w:rPr>
        <w:t>тенденцию, обеспечить сохранение численности сельского населения, в том числе молодежи, способствовать повышению уровня благосостояния населения.</w:t>
      </w:r>
    </w:p>
    <w:p>
      <w:pPr>
        <w:ind w:firstLine="709"/>
        <w:jc w:val="center"/>
        <w:rPr>
          <w:sz w:val="28"/>
          <w:szCs w:val="28"/>
        </w:rPr>
      </w:pPr>
      <w:r>
        <w:rPr>
          <w:b/>
          <w:sz w:val="28"/>
          <w:szCs w:val="28"/>
        </w:rPr>
        <w:t>Перечень программных мероприятий</w:t>
      </w:r>
    </w:p>
    <w:p>
      <w:pPr>
        <w:ind w:firstLine="709"/>
        <w:jc w:val="both"/>
        <w:rPr>
          <w:sz w:val="24"/>
          <w:szCs w:val="24"/>
        </w:rPr>
      </w:pPr>
      <w:r>
        <w:rPr>
          <w:sz w:val="24"/>
          <w:szCs w:val="24"/>
        </w:rPr>
        <w:t>Перечень мероприятий Программы  сформирован в соответствии с основными направлениями государственных программ комплексного развития сельских территорий, утвержденных постановлениями Правительством Российской федерации и Пензенской области с учетом анализа современного состояния и прогнозов развития, а также с учетом комплексного подхода к решению социально-экономических проблем развития сельских территорий на основе принципов проектного финансирования на основе документов территориального планирования. Перечень общественно значимых проектов, претендующих на получение грантов, в рамках поддержки местных инициатив граждан, проживающих в сельской местности,  приведены в приложении №1.</w:t>
      </w:r>
    </w:p>
    <w:p>
      <w:pPr>
        <w:ind w:firstLine="709"/>
        <w:jc w:val="both"/>
        <w:rPr>
          <w:sz w:val="24"/>
          <w:szCs w:val="24"/>
        </w:rPr>
      </w:pPr>
      <w:r>
        <w:rPr>
          <w:sz w:val="24"/>
          <w:szCs w:val="24"/>
        </w:rPr>
        <w:t>Основным мероприятием подпрограммы 1 Программы является строительство жилых помещений (жилых домов), предоставляемых гражданам Российской Федерации, проживающим на сельских территориях, по договору найма жилого помещения. Реализация указанного мероприятия направлена на обеспечение жильем сотрудников крупнейшего производителя мяса индейки ГК «Дамате» и даст возможность построить 10800 кв. м жилья для 160 семей. Для этих целей на территории Кривошеевского сельсовета имеется земельный участок, оснащенный инженерной инфраструктурой. Реализация данного мероприятия будет проводиться в соответствии с приложением №4 к государственной программе Российской Федерации «Комплексное развитие сельских территорий» и приложением №7 к государственной программе Пензенской области «Комплексное развитие сельских территорий Пензенской области», утвержденными постановлениями Правительства Российской Федерации и Пензенской области от 31.05.2019№696 и от 11.12.2019 №778-пП соответственно. Реализация мероприятий по благоустройству территории Кривошеевского сельсовета будет осуществляться в соответствии с приложениями №7 и №9 вышеуказанных нормативных документов соответственно.</w:t>
      </w:r>
    </w:p>
    <w:p>
      <w:pPr>
        <w:ind w:firstLine="709"/>
        <w:jc w:val="center"/>
        <w:rPr>
          <w:sz w:val="28"/>
          <w:szCs w:val="28"/>
        </w:rPr>
      </w:pPr>
      <w:r>
        <w:rPr>
          <w:b/>
          <w:sz w:val="28"/>
          <w:szCs w:val="28"/>
        </w:rPr>
        <w:t>Механизм реализации и управления Программой</w:t>
      </w:r>
    </w:p>
    <w:p>
      <w:pPr>
        <w:ind w:firstLine="709"/>
        <w:jc w:val="both"/>
        <w:rPr>
          <w:sz w:val="24"/>
          <w:szCs w:val="24"/>
        </w:rPr>
      </w:pPr>
      <w:r>
        <w:rPr>
          <w:sz w:val="24"/>
          <w:szCs w:val="24"/>
        </w:rPr>
        <w:t>Механизм реализации Программы основан на принципах софинансирования из федерального, областного, местного  бюджетов  и внебюджетных источников ( привлечение средств ГК «Дамате»), разграничения полномочий   и  ответственности всех  заинтересованных участников данной Программы.</w:t>
      </w:r>
    </w:p>
    <w:p>
      <w:pPr>
        <w:ind w:firstLine="709"/>
        <w:jc w:val="both"/>
        <w:rPr>
          <w:sz w:val="28"/>
          <w:szCs w:val="28"/>
        </w:rPr>
      </w:pPr>
      <w:r>
        <w:rPr>
          <w:sz w:val="24"/>
          <w:szCs w:val="24"/>
        </w:rPr>
        <w:t xml:space="preserve">Контроль за исполнением Программы осуществляет глава администрации Кривошеевского сельсовета Нижнеломовского района Пензенской области. </w:t>
      </w:r>
    </w:p>
    <w:p>
      <w:pPr>
        <w:ind w:firstLine="709"/>
        <w:jc w:val="center"/>
        <w:rPr>
          <w:sz w:val="28"/>
          <w:szCs w:val="28"/>
        </w:rPr>
      </w:pPr>
      <w:r>
        <w:rPr>
          <w:b/>
          <w:sz w:val="28"/>
          <w:szCs w:val="28"/>
        </w:rPr>
        <w:t>Ресурсное обеспечение программы</w:t>
      </w:r>
    </w:p>
    <w:p>
      <w:pPr>
        <w:ind w:firstLine="709"/>
        <w:jc w:val="both"/>
        <w:rPr>
          <w:sz w:val="24"/>
          <w:szCs w:val="24"/>
        </w:rPr>
      </w:pPr>
      <w:r>
        <w:rPr>
          <w:sz w:val="24"/>
          <w:szCs w:val="24"/>
        </w:rPr>
        <w:t>При разработке стратегии финансового и ресурсного обеспечения Программы учитывались реальная ситуация в финансово-бюджетной сфере, высокая общеэкономическая, социально-демографическая, политическая значимость проблемы и реальная возможность ее решения  при  государственной, муниципальной поддержке и вовлечении в инвестиционную деятельность всех участников реализации Программы, включая сельское население.</w:t>
      </w:r>
    </w:p>
    <w:p>
      <w:pPr>
        <w:ind w:firstLine="709"/>
        <w:jc w:val="both"/>
        <w:rPr>
          <w:sz w:val="24"/>
          <w:szCs w:val="24"/>
        </w:rPr>
      </w:pPr>
      <w:r>
        <w:rPr>
          <w:sz w:val="24"/>
          <w:szCs w:val="24"/>
        </w:rPr>
        <w:t>Финансирование Программы осуществляется за счет консолидации средств федерального, областного, местного бюджетов  и внебюджетных источников. Внебюджетные источники включают собственные накопления населения, средства сельскохозяйственных предприятий, банковские кредитные ресурсы, средства иных инвесторов.</w:t>
      </w:r>
    </w:p>
    <w:p>
      <w:pPr>
        <w:ind w:firstLine="709"/>
        <w:jc w:val="both"/>
        <w:rPr>
          <w:sz w:val="24"/>
          <w:szCs w:val="24"/>
        </w:rPr>
      </w:pPr>
      <w:r>
        <w:rPr>
          <w:sz w:val="24"/>
          <w:szCs w:val="24"/>
        </w:rPr>
        <w:t>Финансирование мероприятий Программы за счет средств федерального, областного и местного бюджетов и внебюджетных источников осуществляется при согласовании выделения ассигнований на такие мероприятия за счет соответствующих источников.</w:t>
      </w:r>
    </w:p>
    <w:p>
      <w:pPr>
        <w:ind w:firstLine="709"/>
        <w:jc w:val="both"/>
        <w:rPr>
          <w:sz w:val="28"/>
          <w:szCs w:val="28"/>
        </w:rPr>
      </w:pPr>
      <w:r>
        <w:rPr>
          <w:sz w:val="24"/>
          <w:szCs w:val="24"/>
        </w:rPr>
        <w:t>Объем и структура бюджетного финансирования Программы подлежат ежегодному уточнению в соответствии с реальными возможностями федерального, областного, местного бюджетов и с учетом фактического выполнения программных мероприятий. Объемы затрат и источники финансирования программных мероприятий отражены в приложении № 2 к Программе.</w:t>
      </w:r>
    </w:p>
    <w:p>
      <w:pPr>
        <w:ind w:firstLine="709"/>
        <w:jc w:val="center"/>
        <w:rPr>
          <w:b/>
          <w:sz w:val="28"/>
          <w:szCs w:val="28"/>
        </w:rPr>
      </w:pPr>
    </w:p>
    <w:p>
      <w:pPr>
        <w:ind w:firstLine="709"/>
        <w:jc w:val="center"/>
        <w:rPr>
          <w:b/>
          <w:sz w:val="28"/>
          <w:szCs w:val="28"/>
        </w:rPr>
      </w:pPr>
    </w:p>
    <w:p>
      <w:pPr>
        <w:jc w:val="both"/>
        <w:rPr>
          <w:sz w:val="28"/>
          <w:szCs w:val="28"/>
        </w:rPr>
      </w:pPr>
      <w:r>
        <w:rPr>
          <w:b/>
          <w:sz w:val="28"/>
          <w:szCs w:val="28"/>
        </w:rPr>
        <w:t>Ожидаемые результаты реализации</w:t>
      </w:r>
    </w:p>
    <w:p>
      <w:pPr>
        <w:ind w:firstLine="709"/>
        <w:jc w:val="both"/>
        <w:rPr>
          <w:sz w:val="24"/>
          <w:szCs w:val="24"/>
        </w:rPr>
      </w:pPr>
    </w:p>
    <w:p>
      <w:pPr>
        <w:ind w:firstLine="709"/>
        <w:jc w:val="both"/>
        <w:rPr>
          <w:sz w:val="24"/>
          <w:szCs w:val="24"/>
        </w:rPr>
      </w:pPr>
      <w:r>
        <w:rPr>
          <w:sz w:val="24"/>
          <w:szCs w:val="24"/>
        </w:rPr>
        <w:t>Участие в реализации данного проекта позволит повысить уровень комфортности проживания и уровень обеспеченности объектами социальной инфраструктуры на территории Кривошеевского сельсовета.</w:t>
      </w:r>
    </w:p>
    <w:p>
      <w:pPr>
        <w:ind w:firstLine="709"/>
        <w:jc w:val="both"/>
        <w:rPr>
          <w:sz w:val="24"/>
          <w:szCs w:val="24"/>
        </w:rPr>
      </w:pPr>
      <w:r>
        <w:rPr>
          <w:sz w:val="24"/>
          <w:szCs w:val="24"/>
        </w:rPr>
        <w:t>Участие в реализации данного проекта позволит объединить усилия всех заинтересованных лиц: представителей инициативной группы, индивидуальных предпринимателей, юридических лиц, специалистов администрации на выполнение данного проекта при их непосредственном участии, что делает данный проект социально-значимым.</w:t>
      </w:r>
    </w:p>
    <w:p>
      <w:pPr>
        <w:ind w:firstLine="709"/>
        <w:jc w:val="both"/>
        <w:rPr>
          <w:sz w:val="24"/>
          <w:szCs w:val="24"/>
        </w:rPr>
      </w:pPr>
      <w:r>
        <w:rPr>
          <w:sz w:val="24"/>
          <w:szCs w:val="24"/>
        </w:rPr>
        <w:t>Участие в реализации данного проекта позволит отработать использование механизмов государственно-частного партнерства, привлечение средств внебюджетных источников для финансирования мероприятий проекта, включая средства населения и организаций в масштабах Кривошеевского сельсовета.</w:t>
      </w:r>
    </w:p>
    <w:p>
      <w:pPr>
        <w:ind w:firstLine="709"/>
        <w:jc w:val="both"/>
        <w:rPr>
          <w:sz w:val="24"/>
          <w:szCs w:val="24"/>
        </w:rPr>
      </w:pPr>
      <w:r>
        <w:rPr>
          <w:sz w:val="24"/>
          <w:szCs w:val="24"/>
        </w:rPr>
        <w:t>Жители населенных пунктов Кривошеевского сельсовета почувствуют себя участниками в преобразовании своей малой Родины, у них возникнет желание своими делами и поступками нести ответственность  за ее будущее.</w:t>
      </w:r>
    </w:p>
    <w:p>
      <w:pPr>
        <w:rPr>
          <w:sz w:val="24"/>
          <w:szCs w:val="24"/>
        </w:rPr>
        <w:sectPr>
          <w:headerReference r:id="rId4" w:type="first"/>
          <w:headerReference r:id="rId3" w:type="default"/>
          <w:footerReference r:id="rId5" w:type="default"/>
          <w:endnotePr>
            <w:numFmt w:val="decimal"/>
          </w:endnotePr>
          <w:pgSz w:w="11907" w:h="16840"/>
          <w:pgMar w:top="-66" w:right="851" w:bottom="2" w:left="1418" w:header="720" w:footer="720" w:gutter="0"/>
          <w:pgNumType w:start="1"/>
          <w:cols w:space="720" w:num="1"/>
          <w:titlePg/>
          <w:docGrid w:linePitch="272" w:charSpace="0"/>
        </w:sectPr>
      </w:pPr>
    </w:p>
    <w:tbl>
      <w:tblPr>
        <w:tblStyle w:val="30"/>
        <w:tblW w:w="9828" w:type="dxa"/>
        <w:jc w:val="right"/>
        <w:tblInd w:w="0" w:type="dxa"/>
        <w:tblLayout w:type="fixed"/>
        <w:tblCellMar>
          <w:top w:w="0" w:type="dxa"/>
          <w:left w:w="108" w:type="dxa"/>
          <w:bottom w:w="0" w:type="dxa"/>
          <w:right w:w="108" w:type="dxa"/>
        </w:tblCellMar>
      </w:tblPr>
      <w:tblGrid>
        <w:gridCol w:w="4608"/>
        <w:gridCol w:w="5220"/>
      </w:tblGrid>
      <w:tr>
        <w:tblPrEx>
          <w:tblLayout w:type="fixed"/>
          <w:tblCellMar>
            <w:top w:w="0" w:type="dxa"/>
            <w:left w:w="108" w:type="dxa"/>
            <w:bottom w:w="0" w:type="dxa"/>
            <w:right w:w="108" w:type="dxa"/>
          </w:tblCellMar>
        </w:tblPrEx>
        <w:trPr>
          <w:jc w:val="right"/>
        </w:trPr>
        <w:tc>
          <w:tcPr>
            <w:tcW w:w="4608" w:type="dxa"/>
          </w:tcPr>
          <w:p>
            <w:pPr>
              <w:autoSpaceDE w:val="0"/>
              <w:autoSpaceDN w:val="0"/>
              <w:jc w:val="center"/>
              <w:outlineLvl w:val="1"/>
            </w:pPr>
          </w:p>
        </w:tc>
        <w:tc>
          <w:tcPr>
            <w:tcW w:w="5220" w:type="dxa"/>
          </w:tcPr>
          <w:p>
            <w:pPr>
              <w:jc w:val="center"/>
            </w:pPr>
            <w:r>
              <w:t>Приложение № 1</w:t>
            </w:r>
          </w:p>
          <w:p>
            <w:pPr>
              <w:jc w:val="center"/>
            </w:pPr>
            <w:r>
              <w:t>к муниципальной программе</w:t>
            </w:r>
          </w:p>
          <w:p>
            <w:pPr>
              <w:autoSpaceDE w:val="0"/>
              <w:autoSpaceDN w:val="0"/>
              <w:jc w:val="center"/>
              <w:outlineLvl w:val="1"/>
            </w:pPr>
            <w: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tc>
      </w:tr>
    </w:tbl>
    <w:p>
      <w:pPr>
        <w:rPr>
          <w:sz w:val="28"/>
          <w:szCs w:val="28"/>
        </w:rPr>
      </w:pPr>
    </w:p>
    <w:p>
      <w:pPr>
        <w:tabs>
          <w:tab w:val="left" w:pos="7938"/>
        </w:tabs>
        <w:autoSpaceDE w:val="0"/>
        <w:autoSpaceDN w:val="0"/>
        <w:adjustRightInd w:val="0"/>
        <w:spacing w:before="280"/>
        <w:jc w:val="center"/>
        <w:rPr>
          <w:b/>
          <w:bCs/>
        </w:rPr>
      </w:pPr>
      <w:r>
        <w:rPr>
          <w:b/>
          <w:bCs/>
        </w:rPr>
        <w:t>Перечень</w:t>
      </w:r>
    </w:p>
    <w:p>
      <w:pPr>
        <w:autoSpaceDE w:val="0"/>
        <w:autoSpaceDN w:val="0"/>
        <w:adjustRightInd w:val="0"/>
        <w:jc w:val="center"/>
        <w:rPr>
          <w:b/>
        </w:rPr>
      </w:pPr>
      <w:r>
        <w:rPr>
          <w:b/>
          <w:bCs/>
        </w:rPr>
        <w:t xml:space="preserve">целевых показателей программы </w:t>
      </w:r>
      <w:r>
        <w:rPr>
          <w:b/>
        </w:rP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tbl>
      <w:tblPr>
        <w:tblStyle w:val="30"/>
        <w:tblW w:w="15111" w:type="dxa"/>
        <w:tblInd w:w="-60" w:type="dxa"/>
        <w:tblLayout w:type="fixed"/>
        <w:tblCellMar>
          <w:top w:w="102" w:type="dxa"/>
          <w:left w:w="62" w:type="dxa"/>
          <w:bottom w:w="102" w:type="dxa"/>
          <w:right w:w="62" w:type="dxa"/>
        </w:tblCellMar>
      </w:tblPr>
      <w:tblGrid>
        <w:gridCol w:w="710"/>
        <w:gridCol w:w="5953"/>
        <w:gridCol w:w="1440"/>
        <w:gridCol w:w="1110"/>
        <w:gridCol w:w="1077"/>
        <w:gridCol w:w="1191"/>
        <w:gridCol w:w="1134"/>
        <w:gridCol w:w="1247"/>
        <w:gridCol w:w="1249"/>
      </w:tblGrid>
      <w:tr>
        <w:tblPrEx>
          <w:tblLayout w:type="fixed"/>
          <w:tblCellMar>
            <w:top w:w="102" w:type="dxa"/>
            <w:left w:w="62" w:type="dxa"/>
            <w:bottom w:w="102" w:type="dxa"/>
            <w:right w:w="62" w:type="dxa"/>
          </w:tblCellMar>
        </w:tblPrEx>
        <w:tc>
          <w:tcPr>
            <w:tcW w:w="710" w:type="dxa"/>
            <w:tcBorders>
              <w:top w:val="single" w:color="auto" w:sz="4" w:space="0"/>
              <w:left w:val="single" w:color="auto" w:sz="4" w:space="0"/>
              <w:right w:val="single" w:color="auto" w:sz="4" w:space="0"/>
            </w:tcBorders>
          </w:tcPr>
          <w:p>
            <w:pPr>
              <w:autoSpaceDE w:val="0"/>
              <w:autoSpaceDN w:val="0"/>
              <w:adjustRightInd w:val="0"/>
              <w:jc w:val="center"/>
            </w:pPr>
          </w:p>
        </w:tc>
        <w:tc>
          <w:tcPr>
            <w:tcW w:w="5953" w:type="dxa"/>
            <w:tcBorders>
              <w:top w:val="single" w:color="auto" w:sz="4" w:space="0"/>
              <w:left w:val="single" w:color="auto" w:sz="4" w:space="0"/>
              <w:right w:val="single" w:color="auto" w:sz="4" w:space="0"/>
            </w:tcBorders>
          </w:tcPr>
          <w:p>
            <w:pPr>
              <w:autoSpaceDE w:val="0"/>
              <w:autoSpaceDN w:val="0"/>
              <w:adjustRightInd w:val="0"/>
              <w:jc w:val="center"/>
            </w:pPr>
            <w:r>
              <w:t>Ответственный исполнитель</w:t>
            </w:r>
          </w:p>
        </w:tc>
        <w:tc>
          <w:tcPr>
            <w:tcW w:w="8448" w:type="dxa"/>
            <w:gridSpan w:val="7"/>
            <w:tcBorders>
              <w:top w:val="single" w:color="auto" w:sz="4" w:space="0"/>
              <w:left w:val="single" w:color="auto" w:sz="4" w:space="0"/>
              <w:right w:val="single" w:color="auto" w:sz="4" w:space="0"/>
            </w:tcBorders>
          </w:tcPr>
          <w:p>
            <w:pPr>
              <w:autoSpaceDE w:val="0"/>
              <w:autoSpaceDN w:val="0"/>
              <w:adjustRightInd w:val="0"/>
              <w:jc w:val="center"/>
            </w:pPr>
            <w:r>
              <w:t>Администрация Кривошеевского сельсовета</w:t>
            </w:r>
          </w:p>
        </w:tc>
      </w:tr>
      <w:tr>
        <w:tblPrEx>
          <w:tblLayout w:type="fixed"/>
          <w:tblCellMar>
            <w:top w:w="102" w:type="dxa"/>
            <w:left w:w="62" w:type="dxa"/>
            <w:bottom w:w="102" w:type="dxa"/>
            <w:right w:w="62" w:type="dxa"/>
          </w:tblCellMar>
        </w:tblPrEx>
        <w:tc>
          <w:tcPr>
            <w:tcW w:w="710" w:type="dxa"/>
            <w:vMerge w:val="restart"/>
            <w:tcBorders>
              <w:top w:val="single" w:color="auto" w:sz="4" w:space="0"/>
              <w:left w:val="single" w:color="auto" w:sz="4" w:space="0"/>
              <w:right w:val="single" w:color="auto" w:sz="4" w:space="0"/>
            </w:tcBorders>
          </w:tcPr>
          <w:p>
            <w:pPr>
              <w:autoSpaceDE w:val="0"/>
              <w:autoSpaceDN w:val="0"/>
              <w:adjustRightInd w:val="0"/>
              <w:jc w:val="center"/>
            </w:pPr>
            <w:r>
              <w:t>№ п/п</w:t>
            </w:r>
          </w:p>
        </w:tc>
        <w:tc>
          <w:tcPr>
            <w:tcW w:w="5953" w:type="dxa"/>
            <w:vMerge w:val="restart"/>
            <w:tcBorders>
              <w:top w:val="single" w:color="auto" w:sz="4" w:space="0"/>
              <w:left w:val="single" w:color="auto" w:sz="4" w:space="0"/>
              <w:right w:val="single" w:color="auto" w:sz="4" w:space="0"/>
            </w:tcBorders>
          </w:tcPr>
          <w:p>
            <w:pPr>
              <w:autoSpaceDE w:val="0"/>
              <w:autoSpaceDN w:val="0"/>
              <w:adjustRightInd w:val="0"/>
              <w:jc w:val="center"/>
            </w:pPr>
            <w:r>
              <w:t>Наименование целевого показателя</w:t>
            </w:r>
          </w:p>
        </w:tc>
        <w:tc>
          <w:tcPr>
            <w:tcW w:w="1440" w:type="dxa"/>
            <w:vMerge w:val="restart"/>
            <w:tcBorders>
              <w:top w:val="single" w:color="auto" w:sz="4" w:space="0"/>
              <w:left w:val="single" w:color="auto" w:sz="4" w:space="0"/>
              <w:right w:val="single" w:color="auto" w:sz="4" w:space="0"/>
            </w:tcBorders>
          </w:tcPr>
          <w:p>
            <w:pPr>
              <w:autoSpaceDE w:val="0"/>
              <w:autoSpaceDN w:val="0"/>
              <w:adjustRightInd w:val="0"/>
              <w:jc w:val="center"/>
            </w:pPr>
            <w:r>
              <w:t>Единица измерения</w:t>
            </w:r>
          </w:p>
        </w:tc>
        <w:tc>
          <w:tcPr>
            <w:tcW w:w="7008" w:type="dxa"/>
            <w:gridSpan w:val="6"/>
            <w:tcBorders>
              <w:top w:val="single" w:color="auto" w:sz="4" w:space="0"/>
              <w:left w:val="single" w:color="auto" w:sz="4" w:space="0"/>
              <w:right w:val="single" w:color="auto" w:sz="4" w:space="0"/>
            </w:tcBorders>
          </w:tcPr>
          <w:p>
            <w:pPr>
              <w:autoSpaceDE w:val="0"/>
              <w:autoSpaceDN w:val="0"/>
              <w:adjustRightInd w:val="0"/>
              <w:jc w:val="center"/>
            </w:pPr>
            <w:r>
              <w:t>Значения целевых показателей</w:t>
            </w:r>
          </w:p>
        </w:tc>
      </w:tr>
      <w:tr>
        <w:tblPrEx>
          <w:tblLayout w:type="fixed"/>
          <w:tblCellMar>
            <w:top w:w="102" w:type="dxa"/>
            <w:left w:w="62" w:type="dxa"/>
            <w:bottom w:w="102" w:type="dxa"/>
            <w:right w:w="62" w:type="dxa"/>
          </w:tblCellMar>
        </w:tblPrEx>
        <w:tc>
          <w:tcPr>
            <w:tcW w:w="710" w:type="dxa"/>
            <w:vMerge w:val="continue"/>
            <w:tcBorders>
              <w:left w:val="single" w:color="auto" w:sz="4" w:space="0"/>
              <w:right w:val="single" w:color="auto" w:sz="4" w:space="0"/>
            </w:tcBorders>
          </w:tcPr>
          <w:p>
            <w:pPr>
              <w:autoSpaceDE w:val="0"/>
              <w:autoSpaceDN w:val="0"/>
              <w:adjustRightInd w:val="0"/>
              <w:jc w:val="center"/>
            </w:pPr>
          </w:p>
        </w:tc>
        <w:tc>
          <w:tcPr>
            <w:tcW w:w="5953" w:type="dxa"/>
            <w:vMerge w:val="continue"/>
            <w:tcBorders>
              <w:left w:val="single" w:color="auto" w:sz="4" w:space="0"/>
              <w:right w:val="single" w:color="auto" w:sz="4" w:space="0"/>
            </w:tcBorders>
          </w:tcPr>
          <w:p>
            <w:pPr>
              <w:autoSpaceDE w:val="0"/>
              <w:autoSpaceDN w:val="0"/>
              <w:adjustRightInd w:val="0"/>
              <w:jc w:val="center"/>
            </w:pPr>
          </w:p>
        </w:tc>
        <w:tc>
          <w:tcPr>
            <w:tcW w:w="1440" w:type="dxa"/>
            <w:vMerge w:val="continue"/>
            <w:tcBorders>
              <w:left w:val="single" w:color="auto" w:sz="4" w:space="0"/>
              <w:right w:val="single" w:color="auto" w:sz="4" w:space="0"/>
            </w:tcBorders>
          </w:tcPr>
          <w:p>
            <w:pPr>
              <w:autoSpaceDE w:val="0"/>
              <w:autoSpaceDN w:val="0"/>
              <w:adjustRightInd w:val="0"/>
              <w:jc w:val="center"/>
            </w:pPr>
          </w:p>
        </w:tc>
        <w:tc>
          <w:tcPr>
            <w:tcW w:w="1110" w:type="dxa"/>
            <w:tcBorders>
              <w:top w:val="single" w:color="auto" w:sz="4" w:space="0"/>
              <w:left w:val="single" w:color="auto" w:sz="4" w:space="0"/>
              <w:right w:val="single" w:color="auto" w:sz="4" w:space="0"/>
            </w:tcBorders>
          </w:tcPr>
          <w:p>
            <w:pPr>
              <w:autoSpaceDE w:val="0"/>
              <w:autoSpaceDN w:val="0"/>
              <w:adjustRightInd w:val="0"/>
              <w:jc w:val="center"/>
            </w:pPr>
            <w:r>
              <w:t>2020 г.</w:t>
            </w:r>
          </w:p>
        </w:tc>
        <w:tc>
          <w:tcPr>
            <w:tcW w:w="1077" w:type="dxa"/>
            <w:tcBorders>
              <w:top w:val="single" w:color="auto" w:sz="4" w:space="0"/>
              <w:left w:val="single" w:color="auto" w:sz="4" w:space="0"/>
              <w:right w:val="single" w:color="auto" w:sz="4" w:space="0"/>
            </w:tcBorders>
          </w:tcPr>
          <w:p>
            <w:pPr>
              <w:autoSpaceDE w:val="0"/>
              <w:autoSpaceDN w:val="0"/>
              <w:adjustRightInd w:val="0"/>
              <w:jc w:val="center"/>
            </w:pPr>
            <w:r>
              <w:t>2021 г.</w:t>
            </w:r>
          </w:p>
        </w:tc>
        <w:tc>
          <w:tcPr>
            <w:tcW w:w="1191" w:type="dxa"/>
            <w:tcBorders>
              <w:top w:val="single" w:color="auto" w:sz="4" w:space="0"/>
              <w:left w:val="single" w:color="auto" w:sz="4" w:space="0"/>
              <w:right w:val="single" w:color="auto" w:sz="4" w:space="0"/>
            </w:tcBorders>
          </w:tcPr>
          <w:p>
            <w:pPr>
              <w:autoSpaceDE w:val="0"/>
              <w:autoSpaceDN w:val="0"/>
              <w:adjustRightInd w:val="0"/>
              <w:jc w:val="center"/>
            </w:pPr>
            <w:r>
              <w:t>2022 г.</w:t>
            </w:r>
          </w:p>
        </w:tc>
        <w:tc>
          <w:tcPr>
            <w:tcW w:w="1134" w:type="dxa"/>
            <w:tcBorders>
              <w:top w:val="single" w:color="auto" w:sz="4" w:space="0"/>
              <w:left w:val="single" w:color="auto" w:sz="4" w:space="0"/>
              <w:right w:val="single" w:color="auto" w:sz="4" w:space="0"/>
            </w:tcBorders>
          </w:tcPr>
          <w:p>
            <w:pPr>
              <w:autoSpaceDE w:val="0"/>
              <w:autoSpaceDN w:val="0"/>
              <w:adjustRightInd w:val="0"/>
              <w:jc w:val="center"/>
            </w:pPr>
            <w:r>
              <w:t>2023 г.</w:t>
            </w:r>
          </w:p>
        </w:tc>
        <w:tc>
          <w:tcPr>
            <w:tcW w:w="1247" w:type="dxa"/>
            <w:tcBorders>
              <w:top w:val="single" w:color="auto" w:sz="4" w:space="0"/>
              <w:left w:val="single" w:color="auto" w:sz="4" w:space="0"/>
              <w:right w:val="single" w:color="auto" w:sz="4" w:space="0"/>
            </w:tcBorders>
          </w:tcPr>
          <w:p>
            <w:pPr>
              <w:autoSpaceDE w:val="0"/>
              <w:autoSpaceDN w:val="0"/>
              <w:adjustRightInd w:val="0"/>
              <w:jc w:val="center"/>
            </w:pPr>
            <w:r>
              <w:t>2024 г.</w:t>
            </w:r>
          </w:p>
        </w:tc>
        <w:tc>
          <w:tcPr>
            <w:tcW w:w="1249" w:type="dxa"/>
            <w:tcBorders>
              <w:top w:val="single" w:color="auto" w:sz="4" w:space="0"/>
              <w:left w:val="single" w:color="auto" w:sz="4" w:space="0"/>
              <w:right w:val="single" w:color="auto" w:sz="4" w:space="0"/>
            </w:tcBorders>
          </w:tcPr>
          <w:p>
            <w:pPr>
              <w:autoSpaceDE w:val="0"/>
              <w:autoSpaceDN w:val="0"/>
              <w:adjustRightInd w:val="0"/>
              <w:jc w:val="center"/>
            </w:pPr>
            <w:r>
              <w:t>2025 г.</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right w:val="single" w:color="auto" w:sz="4" w:space="0"/>
            </w:tcBorders>
          </w:tcPr>
          <w:p>
            <w:pPr>
              <w:autoSpaceDE w:val="0"/>
              <w:autoSpaceDN w:val="0"/>
              <w:adjustRightInd w:val="0"/>
              <w:jc w:val="center"/>
            </w:pPr>
            <w:r>
              <w:t>1</w:t>
            </w:r>
          </w:p>
        </w:tc>
        <w:tc>
          <w:tcPr>
            <w:tcW w:w="5953" w:type="dxa"/>
            <w:tcBorders>
              <w:top w:val="single" w:color="auto" w:sz="4" w:space="0"/>
              <w:left w:val="single" w:color="auto" w:sz="4" w:space="0"/>
              <w:right w:val="single" w:color="auto" w:sz="4" w:space="0"/>
            </w:tcBorders>
          </w:tcPr>
          <w:p>
            <w:pPr>
              <w:autoSpaceDE w:val="0"/>
              <w:autoSpaceDN w:val="0"/>
              <w:adjustRightInd w:val="0"/>
              <w:jc w:val="center"/>
            </w:pPr>
            <w:r>
              <w:t>2</w:t>
            </w:r>
          </w:p>
        </w:tc>
        <w:tc>
          <w:tcPr>
            <w:tcW w:w="1440" w:type="dxa"/>
            <w:tcBorders>
              <w:top w:val="single" w:color="auto" w:sz="4" w:space="0"/>
              <w:left w:val="single" w:color="auto" w:sz="4" w:space="0"/>
              <w:right w:val="single" w:color="auto" w:sz="4" w:space="0"/>
            </w:tcBorders>
          </w:tcPr>
          <w:p>
            <w:pPr>
              <w:autoSpaceDE w:val="0"/>
              <w:autoSpaceDN w:val="0"/>
              <w:adjustRightInd w:val="0"/>
              <w:jc w:val="center"/>
            </w:pPr>
            <w:r>
              <w:t>3</w:t>
            </w:r>
          </w:p>
        </w:tc>
        <w:tc>
          <w:tcPr>
            <w:tcW w:w="1110" w:type="dxa"/>
            <w:tcBorders>
              <w:top w:val="single" w:color="auto" w:sz="4" w:space="0"/>
              <w:left w:val="single" w:color="auto" w:sz="4" w:space="0"/>
              <w:right w:val="single" w:color="auto" w:sz="4" w:space="0"/>
            </w:tcBorders>
          </w:tcPr>
          <w:p>
            <w:pPr>
              <w:autoSpaceDE w:val="0"/>
              <w:autoSpaceDN w:val="0"/>
              <w:adjustRightInd w:val="0"/>
              <w:jc w:val="center"/>
            </w:pPr>
            <w:r>
              <w:t>4</w:t>
            </w:r>
          </w:p>
        </w:tc>
        <w:tc>
          <w:tcPr>
            <w:tcW w:w="1077" w:type="dxa"/>
            <w:tcBorders>
              <w:top w:val="single" w:color="auto" w:sz="4" w:space="0"/>
              <w:left w:val="single" w:color="auto" w:sz="4" w:space="0"/>
              <w:right w:val="single" w:color="auto" w:sz="4" w:space="0"/>
            </w:tcBorders>
          </w:tcPr>
          <w:p>
            <w:pPr>
              <w:autoSpaceDE w:val="0"/>
              <w:autoSpaceDN w:val="0"/>
              <w:adjustRightInd w:val="0"/>
              <w:jc w:val="center"/>
            </w:pPr>
            <w:r>
              <w:t>5</w:t>
            </w:r>
          </w:p>
        </w:tc>
        <w:tc>
          <w:tcPr>
            <w:tcW w:w="1191" w:type="dxa"/>
            <w:tcBorders>
              <w:top w:val="single" w:color="auto" w:sz="4" w:space="0"/>
              <w:left w:val="single" w:color="auto" w:sz="4" w:space="0"/>
              <w:right w:val="single" w:color="auto" w:sz="4" w:space="0"/>
            </w:tcBorders>
          </w:tcPr>
          <w:p>
            <w:pPr>
              <w:autoSpaceDE w:val="0"/>
              <w:autoSpaceDN w:val="0"/>
              <w:adjustRightInd w:val="0"/>
              <w:jc w:val="center"/>
            </w:pPr>
            <w:r>
              <w:t>6</w:t>
            </w:r>
          </w:p>
        </w:tc>
        <w:tc>
          <w:tcPr>
            <w:tcW w:w="1134" w:type="dxa"/>
            <w:tcBorders>
              <w:top w:val="single" w:color="auto" w:sz="4" w:space="0"/>
              <w:left w:val="single" w:color="auto" w:sz="4" w:space="0"/>
              <w:right w:val="single" w:color="auto" w:sz="4" w:space="0"/>
            </w:tcBorders>
          </w:tcPr>
          <w:p>
            <w:pPr>
              <w:autoSpaceDE w:val="0"/>
              <w:autoSpaceDN w:val="0"/>
              <w:adjustRightInd w:val="0"/>
              <w:jc w:val="center"/>
            </w:pPr>
            <w:r>
              <w:t>7</w:t>
            </w:r>
          </w:p>
        </w:tc>
        <w:tc>
          <w:tcPr>
            <w:tcW w:w="1247" w:type="dxa"/>
            <w:tcBorders>
              <w:top w:val="single" w:color="auto" w:sz="4" w:space="0"/>
              <w:left w:val="single" w:color="auto" w:sz="4" w:space="0"/>
              <w:right w:val="single" w:color="auto" w:sz="4" w:space="0"/>
            </w:tcBorders>
          </w:tcPr>
          <w:p>
            <w:pPr>
              <w:autoSpaceDE w:val="0"/>
              <w:autoSpaceDN w:val="0"/>
              <w:adjustRightInd w:val="0"/>
              <w:jc w:val="center"/>
            </w:pPr>
            <w:r>
              <w:t>8</w:t>
            </w:r>
          </w:p>
        </w:tc>
        <w:tc>
          <w:tcPr>
            <w:tcW w:w="1249" w:type="dxa"/>
            <w:tcBorders>
              <w:top w:val="single" w:color="auto" w:sz="4" w:space="0"/>
              <w:left w:val="single" w:color="auto" w:sz="4" w:space="0"/>
              <w:right w:val="single" w:color="auto" w:sz="4" w:space="0"/>
            </w:tcBorders>
          </w:tcPr>
          <w:p>
            <w:pPr>
              <w:autoSpaceDE w:val="0"/>
              <w:autoSpaceDN w:val="0"/>
              <w:adjustRightInd w:val="0"/>
              <w:jc w:val="center"/>
            </w:pPr>
            <w:r>
              <w:t>9</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right w:val="single" w:color="auto" w:sz="4" w:space="0"/>
            </w:tcBorders>
          </w:tcPr>
          <w:p>
            <w:pPr>
              <w:autoSpaceDE w:val="0"/>
              <w:autoSpaceDN w:val="0"/>
              <w:adjustRightInd w:val="0"/>
              <w:jc w:val="center"/>
            </w:pPr>
            <w:r>
              <w:t>1</w:t>
            </w:r>
          </w:p>
        </w:tc>
        <w:tc>
          <w:tcPr>
            <w:tcW w:w="5953" w:type="dxa"/>
            <w:tcBorders>
              <w:top w:val="single" w:color="auto" w:sz="4" w:space="0"/>
              <w:left w:val="single" w:color="auto" w:sz="4" w:space="0"/>
              <w:right w:val="single" w:color="auto" w:sz="4" w:space="0"/>
            </w:tcBorders>
          </w:tcPr>
          <w:p>
            <w:pPr>
              <w:autoSpaceDE w:val="0"/>
              <w:autoSpaceDN w:val="0"/>
              <w:adjustRightInd w:val="0"/>
            </w:pPr>
            <w:r>
              <w:t xml:space="preserve">Прирост сельского населения </w:t>
            </w:r>
          </w:p>
        </w:tc>
        <w:tc>
          <w:tcPr>
            <w:tcW w:w="1440" w:type="dxa"/>
            <w:tcBorders>
              <w:top w:val="single" w:color="auto" w:sz="4" w:space="0"/>
              <w:left w:val="single" w:color="auto" w:sz="4" w:space="0"/>
              <w:right w:val="single" w:color="auto" w:sz="4" w:space="0"/>
            </w:tcBorders>
          </w:tcPr>
          <w:p>
            <w:pPr>
              <w:autoSpaceDE w:val="0"/>
              <w:autoSpaceDN w:val="0"/>
              <w:adjustRightInd w:val="0"/>
              <w:jc w:val="center"/>
            </w:pPr>
            <w:r>
              <w:t>процентов</w:t>
            </w:r>
          </w:p>
        </w:tc>
        <w:tc>
          <w:tcPr>
            <w:tcW w:w="1110" w:type="dxa"/>
            <w:tcBorders>
              <w:top w:val="single" w:color="auto" w:sz="4" w:space="0"/>
              <w:left w:val="single" w:color="auto" w:sz="4" w:space="0"/>
              <w:right w:val="single" w:color="auto" w:sz="4" w:space="0"/>
            </w:tcBorders>
            <w:vAlign w:val="top"/>
          </w:tcPr>
          <w:p>
            <w:pPr>
              <w:autoSpaceDE w:val="0"/>
              <w:autoSpaceDN w:val="0"/>
              <w:adjustRightInd w:val="0"/>
              <w:jc w:val="center"/>
            </w:pPr>
            <w:r>
              <w:t>2,0</w:t>
            </w:r>
          </w:p>
        </w:tc>
        <w:tc>
          <w:tcPr>
            <w:tcW w:w="1077" w:type="dxa"/>
            <w:tcBorders>
              <w:top w:val="single" w:color="auto" w:sz="4" w:space="0"/>
              <w:left w:val="single" w:color="auto" w:sz="4" w:space="0"/>
              <w:right w:val="single" w:color="auto" w:sz="4" w:space="0"/>
            </w:tcBorders>
            <w:vAlign w:val="top"/>
          </w:tcPr>
          <w:p>
            <w:pPr>
              <w:jc w:val="center"/>
            </w:pPr>
            <w:r>
              <w:t>2,0</w:t>
            </w:r>
          </w:p>
        </w:tc>
        <w:tc>
          <w:tcPr>
            <w:tcW w:w="1191" w:type="dxa"/>
            <w:tcBorders>
              <w:top w:val="single" w:color="auto" w:sz="4" w:space="0"/>
              <w:left w:val="single" w:color="auto" w:sz="4" w:space="0"/>
              <w:right w:val="single" w:color="auto" w:sz="4" w:space="0"/>
            </w:tcBorders>
            <w:vAlign w:val="top"/>
          </w:tcPr>
          <w:p>
            <w:pPr>
              <w:jc w:val="center"/>
            </w:pPr>
            <w:r>
              <w:t>2,0</w:t>
            </w:r>
          </w:p>
        </w:tc>
        <w:tc>
          <w:tcPr>
            <w:tcW w:w="1134" w:type="dxa"/>
            <w:tcBorders>
              <w:top w:val="single" w:color="auto" w:sz="4" w:space="0"/>
              <w:left w:val="single" w:color="auto" w:sz="4" w:space="0"/>
              <w:right w:val="single" w:color="auto" w:sz="4" w:space="0"/>
            </w:tcBorders>
            <w:vAlign w:val="top"/>
          </w:tcPr>
          <w:p>
            <w:pPr>
              <w:jc w:val="center"/>
            </w:pPr>
            <w:r>
              <w:t>2,0</w:t>
            </w:r>
          </w:p>
        </w:tc>
        <w:tc>
          <w:tcPr>
            <w:tcW w:w="1247" w:type="dxa"/>
            <w:tcBorders>
              <w:top w:val="single" w:color="auto" w:sz="4" w:space="0"/>
              <w:left w:val="single" w:color="auto" w:sz="4" w:space="0"/>
              <w:right w:val="single" w:color="auto" w:sz="4" w:space="0"/>
            </w:tcBorders>
            <w:vAlign w:val="top"/>
          </w:tcPr>
          <w:p>
            <w:pPr>
              <w:jc w:val="center"/>
            </w:pPr>
            <w:r>
              <w:t>2,0</w:t>
            </w:r>
          </w:p>
        </w:tc>
        <w:tc>
          <w:tcPr>
            <w:tcW w:w="1249" w:type="dxa"/>
            <w:tcBorders>
              <w:top w:val="single" w:color="auto" w:sz="4" w:space="0"/>
              <w:left w:val="single" w:color="auto" w:sz="4" w:space="0"/>
              <w:right w:val="single" w:color="auto" w:sz="4" w:space="0"/>
            </w:tcBorders>
            <w:vAlign w:val="top"/>
          </w:tcPr>
          <w:p>
            <w:pPr>
              <w:jc w:val="center"/>
            </w:pPr>
            <w:r>
              <w:t>2,0</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2</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Ввод (приобретение) жилья для граждан, проживающих на сельских территориях</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кв. м</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077" w:type="dxa"/>
            <w:tcBorders>
              <w:top w:val="single" w:color="auto" w:sz="4" w:space="0"/>
              <w:left w:val="single" w:color="auto" w:sz="4" w:space="0"/>
              <w:bottom w:val="single" w:color="auto" w:sz="4" w:space="0"/>
              <w:right w:val="single" w:color="auto" w:sz="4" w:space="0"/>
            </w:tcBorders>
            <w:vAlign w:val="top"/>
          </w:tcPr>
          <w:p>
            <w:pPr>
              <w:jc w:val="center"/>
            </w:pPr>
          </w:p>
        </w:tc>
        <w:tc>
          <w:tcPr>
            <w:tcW w:w="1191" w:type="dxa"/>
            <w:tcBorders>
              <w:top w:val="single" w:color="auto" w:sz="4" w:space="0"/>
              <w:left w:val="single" w:color="auto" w:sz="4" w:space="0"/>
              <w:bottom w:val="single" w:color="auto" w:sz="4" w:space="0"/>
              <w:right w:val="single" w:color="auto" w:sz="4" w:space="0"/>
            </w:tcBorders>
            <w:vAlign w:val="top"/>
          </w:tcPr>
          <w:p>
            <w:pPr>
              <w:jc w:val="center"/>
            </w:pPr>
          </w:p>
        </w:tc>
        <w:tc>
          <w:tcPr>
            <w:tcW w:w="1134" w:type="dxa"/>
            <w:tcBorders>
              <w:top w:val="single" w:color="auto" w:sz="4" w:space="0"/>
              <w:left w:val="single" w:color="auto" w:sz="4" w:space="0"/>
              <w:bottom w:val="single" w:color="auto" w:sz="4" w:space="0"/>
              <w:right w:val="single" w:color="auto" w:sz="4" w:space="0"/>
            </w:tcBorders>
            <w:vAlign w:val="top"/>
          </w:tcPr>
          <w:p>
            <w:pPr>
              <w:jc w:val="center"/>
            </w:pPr>
          </w:p>
        </w:tc>
        <w:tc>
          <w:tcPr>
            <w:tcW w:w="1247" w:type="dxa"/>
            <w:tcBorders>
              <w:top w:val="single" w:color="auto" w:sz="4" w:space="0"/>
              <w:left w:val="single" w:color="auto" w:sz="4" w:space="0"/>
              <w:bottom w:val="single" w:color="auto" w:sz="4" w:space="0"/>
              <w:right w:val="single" w:color="auto" w:sz="4" w:space="0"/>
            </w:tcBorders>
            <w:vAlign w:val="top"/>
          </w:tcPr>
          <w:p>
            <w:pPr>
              <w:jc w:val="center"/>
            </w:pPr>
          </w:p>
        </w:tc>
        <w:tc>
          <w:tcPr>
            <w:tcW w:w="1249" w:type="dxa"/>
            <w:tcBorders>
              <w:top w:val="single" w:color="auto" w:sz="4" w:space="0"/>
              <w:left w:val="single" w:color="auto" w:sz="4" w:space="0"/>
              <w:bottom w:val="single" w:color="auto" w:sz="4" w:space="0"/>
              <w:right w:val="single" w:color="auto" w:sz="4" w:space="0"/>
            </w:tcBorders>
            <w:vAlign w:val="top"/>
          </w:tcPr>
          <w:p>
            <w:pPr>
              <w:jc w:val="center"/>
            </w:pP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3</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Ввод жилья, предоставленного гражданам по договорам найма жилого помещения</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 xml:space="preserve">кв. м </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10800</w:t>
            </w:r>
          </w:p>
        </w:tc>
        <w:tc>
          <w:tcPr>
            <w:tcW w:w="107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191"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134"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24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c>
          <w:tcPr>
            <w:tcW w:w="1249"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6</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Количество благоустроенных контейнерных площадок</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единиц</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07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191"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134"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24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c>
          <w:tcPr>
            <w:tcW w:w="1249"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2</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7</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 xml:space="preserve">Ввод в действие локальных водопроводов </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км</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w:t>
            </w:r>
          </w:p>
        </w:tc>
        <w:tc>
          <w:tcPr>
            <w:tcW w:w="107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w:t>
            </w:r>
          </w:p>
        </w:tc>
        <w:tc>
          <w:tcPr>
            <w:tcW w:w="1191"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134"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247"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249" w:type="dxa"/>
            <w:tcBorders>
              <w:top w:val="single" w:color="auto" w:sz="4" w:space="0"/>
              <w:left w:val="single" w:color="auto" w:sz="4" w:space="0"/>
              <w:bottom w:val="single" w:color="auto" w:sz="4" w:space="0"/>
              <w:right w:val="single" w:color="auto" w:sz="4" w:space="0"/>
            </w:tcBorders>
            <w:vAlign w:val="top"/>
          </w:tcPr>
          <w:p>
            <w:pPr>
              <w:jc w:val="center"/>
            </w:pPr>
            <w:r>
              <w:t>1</w:t>
            </w:r>
          </w:p>
        </w:tc>
      </w:tr>
      <w:tr>
        <w:tblPrEx>
          <w:tblLayout w:type="fixed"/>
          <w:tblCellMar>
            <w:top w:w="102" w:type="dxa"/>
            <w:left w:w="62" w:type="dxa"/>
            <w:bottom w:w="102" w:type="dxa"/>
            <w:right w:w="62" w:type="dxa"/>
          </w:tblCellMar>
        </w:tblPrEx>
        <w:tc>
          <w:tcPr>
            <w:tcW w:w="71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8</w:t>
            </w:r>
          </w:p>
        </w:tc>
        <w:tc>
          <w:tcPr>
            <w:tcW w:w="5953" w:type="dxa"/>
            <w:tcBorders>
              <w:top w:val="single" w:color="auto" w:sz="4" w:space="0"/>
              <w:left w:val="single" w:color="auto" w:sz="4" w:space="0"/>
              <w:bottom w:val="single" w:color="auto" w:sz="4" w:space="0"/>
              <w:right w:val="single" w:color="auto" w:sz="4" w:space="0"/>
            </w:tcBorders>
          </w:tcPr>
          <w:p>
            <w:pPr>
              <w:autoSpaceDE w:val="0"/>
              <w:autoSpaceDN w:val="0"/>
              <w:adjustRightInd w:val="0"/>
            </w:pPr>
            <w:r>
              <w:t>Ввод в действие распределительных газовых сетей</w:t>
            </w:r>
          </w:p>
        </w:tc>
        <w:tc>
          <w:tcPr>
            <w:tcW w:w="1440" w:type="dxa"/>
            <w:tcBorders>
              <w:top w:val="single" w:color="auto" w:sz="4" w:space="0"/>
              <w:left w:val="single" w:color="auto" w:sz="4" w:space="0"/>
              <w:bottom w:val="single" w:color="auto" w:sz="4" w:space="0"/>
              <w:right w:val="single" w:color="auto" w:sz="4" w:space="0"/>
            </w:tcBorders>
          </w:tcPr>
          <w:p>
            <w:pPr>
              <w:autoSpaceDE w:val="0"/>
              <w:autoSpaceDN w:val="0"/>
              <w:adjustRightInd w:val="0"/>
              <w:jc w:val="center"/>
            </w:pPr>
            <w:r>
              <w:t>км</w:t>
            </w:r>
          </w:p>
        </w:tc>
        <w:tc>
          <w:tcPr>
            <w:tcW w:w="111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w:t>
            </w:r>
          </w:p>
        </w:tc>
        <w:tc>
          <w:tcPr>
            <w:tcW w:w="1077"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jc w:val="center"/>
            </w:pPr>
            <w:r>
              <w:t>1</w:t>
            </w:r>
          </w:p>
        </w:tc>
        <w:tc>
          <w:tcPr>
            <w:tcW w:w="1191"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134"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247" w:type="dxa"/>
            <w:tcBorders>
              <w:top w:val="single" w:color="auto" w:sz="4" w:space="0"/>
              <w:left w:val="single" w:color="auto" w:sz="4" w:space="0"/>
              <w:bottom w:val="single" w:color="auto" w:sz="4" w:space="0"/>
              <w:right w:val="single" w:color="auto" w:sz="4" w:space="0"/>
            </w:tcBorders>
            <w:vAlign w:val="top"/>
          </w:tcPr>
          <w:p>
            <w:pPr>
              <w:jc w:val="center"/>
            </w:pPr>
            <w:r>
              <w:t>1</w:t>
            </w:r>
          </w:p>
        </w:tc>
        <w:tc>
          <w:tcPr>
            <w:tcW w:w="1249" w:type="dxa"/>
            <w:tcBorders>
              <w:top w:val="single" w:color="auto" w:sz="4" w:space="0"/>
              <w:left w:val="single" w:color="auto" w:sz="4" w:space="0"/>
              <w:bottom w:val="single" w:color="auto" w:sz="4" w:space="0"/>
              <w:right w:val="single" w:color="auto" w:sz="4" w:space="0"/>
            </w:tcBorders>
            <w:vAlign w:val="top"/>
          </w:tcPr>
          <w:p>
            <w:pPr>
              <w:jc w:val="center"/>
            </w:pPr>
            <w:r>
              <w:t>1</w:t>
            </w:r>
          </w:p>
        </w:tc>
      </w:tr>
    </w:tbl>
    <w:p>
      <w:pPr>
        <w:ind w:firstLine="709"/>
        <w:jc w:val="both"/>
        <w:rPr>
          <w:sz w:val="28"/>
          <w:szCs w:val="28"/>
        </w:rPr>
        <w:sectPr>
          <w:endnotePr>
            <w:numFmt w:val="decimal"/>
          </w:endnotePr>
          <w:pgSz w:w="16840" w:h="11907" w:orient="landscape"/>
          <w:pgMar w:top="1418" w:right="1134" w:bottom="851" w:left="1134" w:header="720" w:footer="720" w:gutter="0"/>
          <w:pgNumType w:start="1"/>
          <w:cols w:space="720" w:num="1"/>
          <w:titlePg/>
          <w:docGrid w:linePitch="272" w:charSpace="0"/>
        </w:sectPr>
      </w:pPr>
    </w:p>
    <w:tbl>
      <w:tblPr>
        <w:tblStyle w:val="30"/>
        <w:tblW w:w="9828" w:type="dxa"/>
        <w:jc w:val="right"/>
        <w:tblInd w:w="0" w:type="dxa"/>
        <w:tblLayout w:type="fixed"/>
        <w:tblCellMar>
          <w:top w:w="0" w:type="dxa"/>
          <w:left w:w="108" w:type="dxa"/>
          <w:bottom w:w="0" w:type="dxa"/>
          <w:right w:w="108" w:type="dxa"/>
        </w:tblCellMar>
      </w:tblPr>
      <w:tblGrid>
        <w:gridCol w:w="4608"/>
        <w:gridCol w:w="5220"/>
      </w:tblGrid>
      <w:tr>
        <w:tblPrEx>
          <w:tblLayout w:type="fixed"/>
          <w:tblCellMar>
            <w:top w:w="0" w:type="dxa"/>
            <w:left w:w="108" w:type="dxa"/>
            <w:bottom w:w="0" w:type="dxa"/>
            <w:right w:w="108" w:type="dxa"/>
          </w:tblCellMar>
        </w:tblPrEx>
        <w:trPr>
          <w:jc w:val="right"/>
        </w:trPr>
        <w:tc>
          <w:tcPr>
            <w:tcW w:w="4608" w:type="dxa"/>
          </w:tcPr>
          <w:p>
            <w:pPr>
              <w:autoSpaceDE w:val="0"/>
              <w:autoSpaceDN w:val="0"/>
              <w:jc w:val="right"/>
              <w:outlineLvl w:val="1"/>
            </w:pPr>
            <w:r>
              <w:rPr>
                <w:sz w:val="28"/>
                <w:szCs w:val="28"/>
              </w:rPr>
              <w:br w:type="page"/>
            </w:r>
          </w:p>
        </w:tc>
        <w:tc>
          <w:tcPr>
            <w:tcW w:w="5220" w:type="dxa"/>
          </w:tcPr>
          <w:p>
            <w:pPr>
              <w:jc w:val="center"/>
            </w:pPr>
            <w:r>
              <w:t>Приложение № 2</w:t>
            </w:r>
          </w:p>
          <w:p>
            <w:pPr>
              <w:jc w:val="center"/>
            </w:pPr>
            <w:r>
              <w:t>К муниципальной  программе «Развитие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autoSpaceDE w:val="0"/>
              <w:autoSpaceDN w:val="0"/>
              <w:jc w:val="center"/>
              <w:outlineLvl w:val="1"/>
            </w:pPr>
            <w:r>
              <w:t xml:space="preserve"> </w:t>
            </w:r>
          </w:p>
        </w:tc>
      </w:tr>
    </w:tbl>
    <w:p>
      <w:pPr>
        <w:ind w:firstLine="709"/>
        <w:jc w:val="both"/>
        <w:rPr>
          <w:sz w:val="28"/>
          <w:szCs w:val="28"/>
        </w:rPr>
      </w:pPr>
    </w:p>
    <w:p>
      <w:pPr>
        <w:jc w:val="center"/>
        <w:rPr>
          <w:b/>
          <w:bCs/>
        </w:rPr>
      </w:pPr>
      <w:r>
        <w:rPr>
          <w:b/>
          <w:bCs/>
        </w:rPr>
        <w:t xml:space="preserve">РЕСУРСНОЕ ОБЕСПЕЧЕНИЕ </w:t>
      </w:r>
      <w:r>
        <w:rPr>
          <w:b/>
          <w:bCs/>
        </w:rPr>
        <w:br w:type="textWrapping"/>
      </w:r>
      <w:r>
        <w:rPr>
          <w:b/>
          <w:bCs/>
        </w:rPr>
        <w:t xml:space="preserve">реализации муниципальной программы Кривошеевского сельсовета Нижнеломовского района </w:t>
      </w:r>
      <w:r>
        <w:rPr>
          <w:b/>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rPr>
        <w:t xml:space="preserve"> </w:t>
      </w:r>
    </w:p>
    <w:p>
      <w:pPr>
        <w:autoSpaceDE w:val="0"/>
        <w:autoSpaceDN w:val="0"/>
        <w:adjustRightInd w:val="0"/>
        <w:ind w:firstLine="709"/>
        <w:jc w:val="center"/>
        <w:rPr>
          <w:b/>
        </w:rPr>
      </w:pPr>
    </w:p>
    <w:tbl>
      <w:tblPr>
        <w:tblStyle w:val="30"/>
        <w:tblW w:w="153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
        <w:gridCol w:w="420"/>
        <w:gridCol w:w="1717"/>
        <w:gridCol w:w="1969"/>
        <w:gridCol w:w="3118"/>
        <w:gridCol w:w="1248"/>
        <w:gridCol w:w="933"/>
        <w:gridCol w:w="343"/>
        <w:gridCol w:w="1372"/>
        <w:gridCol w:w="1414"/>
        <w:gridCol w:w="1309"/>
        <w:gridCol w:w="1242"/>
        <w:gridCol w:w="7"/>
        <w:gridCol w:w="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66" w:type="dxa"/>
        </w:trPr>
        <w:tc>
          <w:tcPr>
            <w:tcW w:w="4140" w:type="dxa"/>
            <w:gridSpan w:val="4"/>
          </w:tcPr>
          <w:p>
            <w:pPr>
              <w:jc w:val="center"/>
              <w:rPr>
                <w:rFonts w:hint="default" w:ascii="Times New Roman" w:hAnsi="Times New Roman" w:cs="Times New Roman"/>
                <w:sz w:val="22"/>
                <w:szCs w:val="22"/>
              </w:rPr>
            </w:pPr>
            <w:r>
              <w:rPr>
                <w:rFonts w:hint="default" w:ascii="Times New Roman" w:hAnsi="Times New Roman" w:cs="Times New Roman"/>
                <w:sz w:val="22"/>
                <w:szCs w:val="22"/>
              </w:rPr>
              <w:t>Ответственный исполнитель</w:t>
            </w:r>
          </w:p>
          <w:p>
            <w:pPr>
              <w:jc w:val="center"/>
              <w:rPr>
                <w:rFonts w:hint="default" w:ascii="Times New Roman" w:hAnsi="Times New Roman" w:cs="Times New Roman"/>
                <w:sz w:val="22"/>
                <w:szCs w:val="22"/>
              </w:rPr>
            </w:pPr>
            <w:r>
              <w:rPr>
                <w:rFonts w:hint="default" w:ascii="Times New Roman" w:hAnsi="Times New Roman" w:cs="Times New Roman"/>
                <w:sz w:val="22"/>
                <w:szCs w:val="22"/>
              </w:rPr>
              <w:t>государственной программы</w:t>
            </w:r>
          </w:p>
        </w:tc>
        <w:tc>
          <w:tcPr>
            <w:tcW w:w="10986" w:type="dxa"/>
            <w:gridSpan w:val="9"/>
          </w:tcPr>
          <w:p>
            <w:pPr>
              <w:jc w:val="center"/>
              <w:rPr>
                <w:rFonts w:hint="default" w:ascii="Times New Roman" w:hAnsi="Times New Roman" w:cs="Times New Roman"/>
                <w:sz w:val="22"/>
                <w:szCs w:val="22"/>
              </w:rPr>
            </w:pPr>
            <w:r>
              <w:rPr>
                <w:rFonts w:hint="default" w:ascii="Times New Roman" w:hAnsi="Times New Roman" w:cs="Times New Roman"/>
                <w:sz w:val="22"/>
                <w:szCs w:val="22"/>
              </w:rPr>
              <w:t>Администрация Кривошеевского сельсовета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66" w:type="dxa"/>
        </w:trPr>
        <w:tc>
          <w:tcPr>
            <w:tcW w:w="454" w:type="dxa"/>
            <w:gridSpan w:val="2"/>
            <w:vMerge w:val="restart"/>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w:t>
            </w:r>
          </w:p>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п/п</w:t>
            </w:r>
          </w:p>
        </w:tc>
        <w:tc>
          <w:tcPr>
            <w:tcW w:w="1717" w:type="dxa"/>
            <w:vMerge w:val="restart"/>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Статус</w:t>
            </w:r>
          </w:p>
        </w:tc>
        <w:tc>
          <w:tcPr>
            <w:tcW w:w="1969" w:type="dxa"/>
            <w:vMerge w:val="restart"/>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Наименование муниципальной программы, подпрограммы, основного мероприятия</w:t>
            </w:r>
          </w:p>
        </w:tc>
        <w:tc>
          <w:tcPr>
            <w:tcW w:w="3118" w:type="dxa"/>
            <w:vMerge w:val="restart"/>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Источник финансирования</w:t>
            </w:r>
          </w:p>
        </w:tc>
        <w:tc>
          <w:tcPr>
            <w:tcW w:w="7868" w:type="dxa"/>
            <w:gridSpan w:val="8"/>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Оценка расходов, тыс. рублей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vMerge w:val="continue"/>
            <w:vAlign w:val="center"/>
          </w:tcPr>
          <w:p>
            <w:pPr>
              <w:rPr>
                <w:rFonts w:hint="default" w:ascii="Times New Roman" w:hAnsi="Times New Roman" w:cs="Times New Roman"/>
                <w:sz w:val="22"/>
                <w:szCs w:val="22"/>
              </w:rPr>
            </w:pPr>
          </w:p>
        </w:tc>
        <w:tc>
          <w:tcPr>
            <w:tcW w:w="1248"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2020 г.</w:t>
            </w:r>
          </w:p>
        </w:tc>
        <w:tc>
          <w:tcPr>
            <w:tcW w:w="1276" w:type="dxa"/>
            <w:gridSpan w:val="2"/>
          </w:tcPr>
          <w:p>
            <w:pPr>
              <w:jc w:val="center"/>
              <w:rPr>
                <w:rFonts w:hint="default" w:ascii="Times New Roman" w:hAnsi="Times New Roman" w:cs="Times New Roman"/>
                <w:sz w:val="22"/>
                <w:szCs w:val="22"/>
              </w:rPr>
            </w:pPr>
            <w:r>
              <w:rPr>
                <w:rFonts w:hint="default" w:ascii="Times New Roman" w:hAnsi="Times New Roman" w:cs="Times New Roman"/>
                <w:sz w:val="22"/>
                <w:szCs w:val="22"/>
              </w:rPr>
              <w:t>2021 г.</w:t>
            </w:r>
          </w:p>
        </w:tc>
        <w:tc>
          <w:tcPr>
            <w:tcW w:w="1372"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2022 г.</w:t>
            </w:r>
          </w:p>
        </w:tc>
        <w:tc>
          <w:tcPr>
            <w:tcW w:w="1414"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2023 г.</w:t>
            </w:r>
          </w:p>
        </w:tc>
        <w:tc>
          <w:tcPr>
            <w:tcW w:w="1309"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2024 г.</w:t>
            </w:r>
          </w:p>
        </w:tc>
        <w:tc>
          <w:tcPr>
            <w:tcW w:w="1242"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2025 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blHeader/>
        </w:trPr>
        <w:tc>
          <w:tcPr>
            <w:tcW w:w="454" w:type="dxa"/>
            <w:gridSpan w:val="2"/>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1717" w:type="dxa"/>
          </w:tcPr>
          <w:p>
            <w:pPr>
              <w:spacing w:line="220" w:lineRule="auto"/>
              <w:ind w:left="-100" w:right="-96"/>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1969" w:type="dxa"/>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3</w:t>
            </w:r>
          </w:p>
        </w:tc>
        <w:tc>
          <w:tcPr>
            <w:tcW w:w="3118" w:type="dxa"/>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4</w:t>
            </w:r>
          </w:p>
        </w:tc>
        <w:tc>
          <w:tcPr>
            <w:tcW w:w="1248"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5</w:t>
            </w:r>
          </w:p>
        </w:tc>
        <w:tc>
          <w:tcPr>
            <w:tcW w:w="1276" w:type="dxa"/>
            <w:gridSpan w:val="2"/>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6</w:t>
            </w:r>
          </w:p>
        </w:tc>
        <w:tc>
          <w:tcPr>
            <w:tcW w:w="1372"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7</w:t>
            </w:r>
          </w:p>
        </w:tc>
        <w:tc>
          <w:tcPr>
            <w:tcW w:w="1414"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8</w:t>
            </w:r>
          </w:p>
        </w:tc>
        <w:tc>
          <w:tcPr>
            <w:tcW w:w="1309"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9</w:t>
            </w:r>
          </w:p>
        </w:tc>
        <w:tc>
          <w:tcPr>
            <w:tcW w:w="1242" w:type="dxa"/>
            <w:tcBorders>
              <w:bottom w:val="single" w:color="auto" w:sz="4" w:space="0"/>
            </w:tcBorders>
          </w:tcPr>
          <w:p>
            <w:pPr>
              <w:spacing w:line="220" w:lineRule="auto"/>
              <w:jc w:val="center"/>
              <w:rPr>
                <w:rFonts w:hint="default" w:ascii="Times New Roman" w:hAnsi="Times New Roman" w:cs="Times New Roman"/>
                <w:sz w:val="22"/>
                <w:szCs w:val="22"/>
              </w:rPr>
            </w:pPr>
            <w:r>
              <w:rPr>
                <w:rFonts w:hint="default" w:ascii="Times New Roman" w:hAnsi="Times New Roman" w:cs="Times New Roman"/>
                <w:sz w:val="22"/>
                <w:szCs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Height w:val="621" w:hRule="atLeast"/>
        </w:trPr>
        <w:tc>
          <w:tcPr>
            <w:tcW w:w="454" w:type="dxa"/>
            <w:gridSpan w:val="2"/>
            <w:vMerge w:val="restart"/>
          </w:tcPr>
          <w:p>
            <w:pPr>
              <w:spacing w:line="252" w:lineRule="auto"/>
              <w:jc w:val="center"/>
              <w:rPr>
                <w:rFonts w:hint="default" w:ascii="Times New Roman" w:hAnsi="Times New Roman" w:cs="Times New Roman"/>
                <w:sz w:val="22"/>
                <w:szCs w:val="22"/>
              </w:rPr>
            </w:pPr>
          </w:p>
        </w:tc>
        <w:tc>
          <w:tcPr>
            <w:tcW w:w="1717" w:type="dxa"/>
          </w:tcPr>
          <w:p>
            <w:pPr>
              <w:spacing w:line="252" w:lineRule="auto"/>
              <w:ind w:left="-100" w:right="-96"/>
              <w:jc w:val="center"/>
              <w:rPr>
                <w:rFonts w:hint="default" w:ascii="Times New Roman" w:hAnsi="Times New Roman" w:cs="Times New Roman"/>
                <w:sz w:val="22"/>
                <w:szCs w:val="22"/>
              </w:rPr>
            </w:pPr>
            <w:r>
              <w:rPr>
                <w:rFonts w:hint="default" w:ascii="Times New Roman" w:hAnsi="Times New Roman" w:cs="Times New Roman"/>
                <w:sz w:val="22"/>
                <w:szCs w:val="22"/>
              </w:rPr>
              <w:t>Муниципальная программа</w:t>
            </w:r>
          </w:p>
        </w:tc>
        <w:tc>
          <w:tcPr>
            <w:tcW w:w="1969"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spacing w:line="252" w:lineRule="auto"/>
              <w:jc w:val="center"/>
              <w:rPr>
                <w:rFonts w:hint="default" w:ascii="Times New Roman" w:hAnsi="Times New Roman" w:cs="Times New Roman"/>
                <w:sz w:val="22"/>
                <w:szCs w:val="22"/>
              </w:rPr>
            </w:pPr>
          </w:p>
        </w:tc>
        <w:tc>
          <w:tcPr>
            <w:tcW w:w="3118" w:type="dxa"/>
          </w:tcPr>
          <w:p>
            <w:pPr>
              <w:spacing w:line="252" w:lineRule="auto"/>
              <w:jc w:val="center"/>
              <w:rPr>
                <w:rFonts w:hint="default" w:ascii="Times New Roman" w:hAnsi="Times New Roman" w:cs="Times New Roman"/>
                <w:sz w:val="22"/>
                <w:szCs w:val="22"/>
              </w:rPr>
            </w:pPr>
            <w:r>
              <w:rPr>
                <w:rFonts w:hint="default" w:ascii="Times New Roman" w:hAnsi="Times New Roman" w:cs="Times New Roman"/>
                <w:b/>
                <w:bCs/>
                <w:sz w:val="22"/>
                <w:szCs w:val="22"/>
              </w:rPr>
              <w:t>Всего, в том числе:</w:t>
            </w:r>
          </w:p>
        </w:tc>
        <w:tc>
          <w:tcPr>
            <w:tcW w:w="1248"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lang w:val="ru-RU"/>
              </w:rPr>
            </w:pPr>
            <w:r>
              <w:rPr>
                <w:rFonts w:hint="default" w:ascii="Times New Roman" w:hAnsi="Times New Roman" w:cs="Times New Roman"/>
                <w:b/>
                <w:bCs/>
                <w:sz w:val="22"/>
                <w:szCs w:val="22"/>
                <w:lang w:val="ru-RU"/>
              </w:rPr>
              <w:t>387587,9</w:t>
            </w:r>
          </w:p>
        </w:tc>
        <w:tc>
          <w:tcPr>
            <w:tcW w:w="1276" w:type="dxa"/>
            <w:gridSpan w:val="2"/>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lang w:val="ru-RU"/>
              </w:rPr>
            </w:pPr>
            <w:r>
              <w:rPr>
                <w:rFonts w:hint="default" w:cs="Times New Roman"/>
                <w:b/>
                <w:bCs/>
                <w:sz w:val="22"/>
                <w:szCs w:val="22"/>
                <w:lang w:val="ru-RU"/>
              </w:rPr>
              <w:t>221389,0</w:t>
            </w:r>
          </w:p>
        </w:tc>
        <w:tc>
          <w:tcPr>
            <w:tcW w:w="1372"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lang w:val="ru-RU"/>
              </w:rPr>
            </w:pPr>
            <w:r>
              <w:rPr>
                <w:rFonts w:hint="default" w:cs="Times New Roman"/>
                <w:b/>
                <w:bCs/>
                <w:sz w:val="22"/>
                <w:szCs w:val="22"/>
                <w:lang w:val="ru-RU"/>
              </w:rPr>
              <w:t>276585,4</w:t>
            </w:r>
          </w:p>
        </w:tc>
        <w:tc>
          <w:tcPr>
            <w:tcW w:w="1414"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lang w:val="ru-RU"/>
              </w:rPr>
            </w:pPr>
            <w:r>
              <w:rPr>
                <w:rFonts w:hint="default" w:cs="Times New Roman"/>
                <w:b/>
                <w:bCs/>
                <w:sz w:val="22"/>
                <w:szCs w:val="22"/>
                <w:lang w:val="ru-RU"/>
              </w:rPr>
              <w:t>269934,8</w:t>
            </w:r>
          </w:p>
        </w:tc>
        <w:tc>
          <w:tcPr>
            <w:tcW w:w="1309"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rPr>
            </w:pPr>
          </w:p>
        </w:tc>
        <w:tc>
          <w:tcPr>
            <w:tcW w:w="1242"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restart"/>
            <w:vAlign w:val="center"/>
          </w:tcPr>
          <w:p>
            <w:pPr>
              <w:rPr>
                <w:rFonts w:hint="default" w:ascii="Times New Roman" w:hAnsi="Times New Roman" w:cs="Times New Roman"/>
                <w:sz w:val="22"/>
                <w:szCs w:val="22"/>
              </w:rPr>
            </w:pPr>
          </w:p>
        </w:tc>
        <w:tc>
          <w:tcPr>
            <w:tcW w:w="1969" w:type="dxa"/>
            <w:vMerge w:val="restart"/>
            <w:vAlign w:val="center"/>
          </w:tcPr>
          <w:p>
            <w:pPr>
              <w:rPr>
                <w:rFonts w:hint="default" w:ascii="Times New Roman" w:hAnsi="Times New Roman" w:cs="Times New Roman"/>
                <w:sz w:val="22"/>
                <w:szCs w:val="22"/>
              </w:rPr>
            </w:pPr>
          </w:p>
        </w:tc>
        <w:tc>
          <w:tcPr>
            <w:tcW w:w="3118" w:type="dxa"/>
          </w:tcPr>
          <w:p>
            <w:pPr>
              <w:spacing w:line="252" w:lineRule="auto"/>
              <w:jc w:val="center"/>
              <w:rPr>
                <w:rFonts w:hint="default" w:ascii="Times New Roman" w:hAnsi="Times New Roman" w:cs="Times New Roman"/>
                <w:sz w:val="22"/>
                <w:szCs w:val="22"/>
              </w:rPr>
            </w:pPr>
            <w:r>
              <w:rPr>
                <w:rFonts w:hint="default" w:ascii="Times New Roman" w:hAnsi="Times New Roman" w:cs="Times New Roman"/>
                <w:sz w:val="22"/>
                <w:szCs w:val="22"/>
              </w:rPr>
              <w:t>федеральный бюджет</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t>283829,5</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218412,8</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273819,5</w:t>
            </w: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267235,5</w:t>
            </w:r>
          </w:p>
        </w:tc>
        <w:tc>
          <w:tcPr>
            <w:tcW w:w="1309"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Height w:val="580" w:hRule="atLeast"/>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52"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Пензенской области</w:t>
            </w:r>
          </w:p>
        </w:tc>
        <w:tc>
          <w:tcPr>
            <w:tcW w:w="1248" w:type="dxa"/>
            <w:tcBorders>
              <w:top w:val="nil"/>
              <w:left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t>24680,8</w:t>
            </w:r>
          </w:p>
        </w:tc>
        <w:tc>
          <w:tcPr>
            <w:tcW w:w="1276" w:type="dxa"/>
            <w:gridSpan w:val="2"/>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2206,2</w:t>
            </w:r>
          </w:p>
        </w:tc>
        <w:tc>
          <w:tcPr>
            <w:tcW w:w="1372" w:type="dxa"/>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2765,9</w:t>
            </w:r>
          </w:p>
        </w:tc>
        <w:tc>
          <w:tcPr>
            <w:tcW w:w="1414" w:type="dxa"/>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2699,3</w:t>
            </w:r>
          </w:p>
        </w:tc>
        <w:tc>
          <w:tcPr>
            <w:tcW w:w="1309" w:type="dxa"/>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242" w:type="dxa"/>
            <w:tcBorders>
              <w:top w:val="nil"/>
              <w:left w:val="nil"/>
              <w:right w:val="single" w:color="auto" w:sz="4" w:space="0"/>
            </w:tcBorders>
            <w:shd w:val="clear" w:color="000000" w:fill="FFFFFF"/>
            <w:vAlign w:val="top"/>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52"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Кривошеевского сельсовета</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ascii="Times New Roman" w:hAnsi="Times New Roman" w:cs="Times New Roman"/>
                <w:sz w:val="22"/>
                <w:szCs w:val="22"/>
              </w:rPr>
              <w:t>7</w:t>
            </w:r>
            <w:r>
              <w:rPr>
                <w:rFonts w:hint="default" w:ascii="Times New Roman" w:hAnsi="Times New Roman" w:cs="Times New Roman"/>
                <w:sz w:val="22"/>
                <w:szCs w:val="22"/>
                <w:lang w:val="ru-RU"/>
              </w:rPr>
              <w:t>9077,6</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770,0</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jc w:val="center"/>
              <w:rPr>
                <w:rFonts w:hint="default" w:ascii="Times New Roman" w:hAnsi="Times New Roman" w:cs="Times New Roman"/>
                <w:sz w:val="22"/>
                <w:szCs w:val="22"/>
              </w:rPr>
            </w:pPr>
            <w:r>
              <w:rPr>
                <w:rFonts w:hint="default" w:ascii="Times New Roman" w:hAnsi="Times New Roman" w:cs="Times New Roman"/>
                <w:sz w:val="22"/>
                <w:szCs w:val="22"/>
              </w:rPr>
              <w:t>иные источники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0,0</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1717" w:type="dxa"/>
            <w:vMerge w:val="restart"/>
          </w:tcPr>
          <w:p>
            <w:pPr>
              <w:spacing w:line="228" w:lineRule="auto"/>
              <w:ind w:left="-100" w:right="-96"/>
              <w:jc w:val="center"/>
              <w:rPr>
                <w:rFonts w:hint="default" w:ascii="Times New Roman" w:hAnsi="Times New Roman" w:cs="Times New Roman"/>
                <w:sz w:val="22"/>
                <w:szCs w:val="22"/>
              </w:rPr>
            </w:pPr>
            <w:r>
              <w:rPr>
                <w:rFonts w:hint="default" w:ascii="Times New Roman" w:hAnsi="Times New Roman" w:cs="Times New Roman"/>
                <w:sz w:val="22"/>
                <w:szCs w:val="22"/>
              </w:rPr>
              <w:t>Подпрограмма 1</w:t>
            </w:r>
          </w:p>
        </w:tc>
        <w:tc>
          <w:tcPr>
            <w:tcW w:w="1969" w:type="dxa"/>
            <w:vMerge w:val="restart"/>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Создание условий для обеспечения доступным и комфортным жильем сельского населения</w:t>
            </w: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Всего, в том числе:</w:t>
            </w:r>
          </w:p>
        </w:tc>
        <w:tc>
          <w:tcPr>
            <w:tcW w:w="1248"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b/>
                <w:bCs/>
                <w:sz w:val="22"/>
                <w:szCs w:val="22"/>
                <w:lang w:val="ru-RU"/>
              </w:rPr>
              <w:t>387587,9</w:t>
            </w:r>
          </w:p>
        </w:tc>
        <w:tc>
          <w:tcPr>
            <w:tcW w:w="1276" w:type="dxa"/>
            <w:gridSpan w:val="2"/>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b/>
                <w:bCs/>
                <w:sz w:val="22"/>
                <w:szCs w:val="22"/>
                <w:lang w:val="ru-RU"/>
              </w:rPr>
              <w:t>221389,0</w:t>
            </w:r>
          </w:p>
        </w:tc>
        <w:tc>
          <w:tcPr>
            <w:tcW w:w="1372"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b/>
                <w:bCs/>
                <w:sz w:val="22"/>
                <w:szCs w:val="22"/>
                <w:lang w:val="ru-RU"/>
              </w:rPr>
              <w:t>276585,4</w:t>
            </w:r>
          </w:p>
        </w:tc>
        <w:tc>
          <w:tcPr>
            <w:tcW w:w="1414"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b/>
                <w:bCs/>
                <w:sz w:val="22"/>
                <w:szCs w:val="22"/>
                <w:lang w:val="ru-RU"/>
              </w:rPr>
              <w:t>269934,8</w:t>
            </w:r>
          </w:p>
        </w:tc>
        <w:tc>
          <w:tcPr>
            <w:tcW w:w="1309"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федеральный бюджет</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lang w:val="ru-RU"/>
              </w:rPr>
              <w:t>283829,5</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218412,8</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273819,5</w:t>
            </w: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267235,5</w:t>
            </w: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Пензенской области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lang w:val="ru-RU"/>
              </w:rPr>
              <w:t>24680,8</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2206,2</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2765,9</w:t>
            </w: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2699,3</w:t>
            </w: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Кривошеевского сельсовета</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7</w:t>
            </w:r>
            <w:r>
              <w:rPr>
                <w:rFonts w:hint="default" w:ascii="Times New Roman" w:hAnsi="Times New Roman" w:cs="Times New Roman"/>
                <w:sz w:val="22"/>
                <w:szCs w:val="22"/>
                <w:lang w:val="ru-RU"/>
              </w:rPr>
              <w:t>9077,6</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lang w:val="ru-RU"/>
              </w:rPr>
            </w:pPr>
            <w:r>
              <w:rPr>
                <w:rFonts w:hint="default" w:cs="Times New Roman"/>
                <w:sz w:val="22"/>
                <w:szCs w:val="22"/>
                <w:lang w:val="ru-RU"/>
              </w:rPr>
              <w:t>770,0</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иные источники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0,0</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Pr>
          <w:p>
            <w:pPr>
              <w:jc w:val="center"/>
              <w:rPr>
                <w:rFonts w:hint="default" w:ascii="Times New Roman" w:hAnsi="Times New Roman" w:cs="Times New Roman"/>
                <w:sz w:val="22"/>
                <w:szCs w:val="22"/>
              </w:rPr>
            </w:pPr>
            <w:r>
              <w:rPr>
                <w:rFonts w:hint="default" w:ascii="Times New Roman" w:hAnsi="Times New Roman" w:cs="Times New Roman"/>
                <w:sz w:val="22"/>
                <w:szCs w:val="22"/>
              </w:rPr>
              <w:t>1.1.</w:t>
            </w:r>
          </w:p>
        </w:tc>
        <w:tc>
          <w:tcPr>
            <w:tcW w:w="1717" w:type="dxa"/>
            <w:vMerge w:val="restart"/>
          </w:tcPr>
          <w:p>
            <w:pPr>
              <w:jc w:val="center"/>
              <w:rPr>
                <w:rFonts w:hint="default" w:ascii="Times New Roman" w:hAnsi="Times New Roman" w:cs="Times New Roman"/>
                <w:sz w:val="22"/>
                <w:szCs w:val="22"/>
              </w:rPr>
            </w:pPr>
            <w:r>
              <w:rPr>
                <w:rFonts w:hint="default" w:ascii="Times New Roman" w:hAnsi="Times New Roman" w:cs="Times New Roman"/>
                <w:sz w:val="22"/>
                <w:szCs w:val="22"/>
              </w:rPr>
              <w:t xml:space="preserve">Основное мероприятие </w:t>
            </w:r>
          </w:p>
        </w:tc>
        <w:tc>
          <w:tcPr>
            <w:tcW w:w="1969" w:type="dxa"/>
            <w:vMerge w:val="restart"/>
          </w:tcPr>
          <w:p>
            <w:pPr>
              <w:jc w:val="center"/>
              <w:rPr>
                <w:rFonts w:hint="default" w:ascii="Times New Roman" w:hAnsi="Times New Roman" w:cs="Times New Roman"/>
                <w:sz w:val="22"/>
                <w:szCs w:val="22"/>
              </w:rPr>
            </w:pPr>
            <w:r>
              <w:rPr>
                <w:rFonts w:hint="default" w:ascii="Times New Roman" w:hAnsi="Times New Roman" w:cs="Times New Roman"/>
                <w:sz w:val="22"/>
                <w:szCs w:val="22"/>
              </w:rPr>
              <w:t>Строительство жилых помещений (жилых домов), предоставляемых гражданам Российской Федерации, проживающим на сельских территориях, по договору найма жилого помещения</w:t>
            </w: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Всего, в том числе:</w:t>
            </w:r>
          </w:p>
        </w:tc>
        <w:tc>
          <w:tcPr>
            <w:tcW w:w="1248"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b/>
                <w:bCs/>
                <w:sz w:val="22"/>
                <w:szCs w:val="22"/>
                <w:lang w:val="ru-RU"/>
              </w:rPr>
              <w:t>387587,9</w:t>
            </w:r>
          </w:p>
        </w:tc>
        <w:tc>
          <w:tcPr>
            <w:tcW w:w="1276" w:type="dxa"/>
            <w:gridSpan w:val="2"/>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b/>
                <w:bCs/>
                <w:sz w:val="22"/>
                <w:szCs w:val="22"/>
                <w:lang w:val="ru-RU"/>
              </w:rPr>
              <w:t>221389,0</w:t>
            </w:r>
          </w:p>
        </w:tc>
        <w:tc>
          <w:tcPr>
            <w:tcW w:w="1372"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b/>
                <w:bCs/>
                <w:sz w:val="22"/>
                <w:szCs w:val="22"/>
                <w:lang w:val="ru-RU"/>
              </w:rPr>
              <w:t>276585,4</w:t>
            </w:r>
          </w:p>
        </w:tc>
        <w:tc>
          <w:tcPr>
            <w:tcW w:w="1414" w:type="dxa"/>
            <w:tcBorders>
              <w:top w:val="single" w:color="auto" w:sz="4" w:space="0"/>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b/>
                <w:bCs/>
                <w:sz w:val="22"/>
                <w:szCs w:val="22"/>
                <w:lang w:val="ru-RU"/>
              </w:rPr>
              <w:t>269934,8</w:t>
            </w:r>
          </w:p>
        </w:tc>
        <w:tc>
          <w:tcPr>
            <w:tcW w:w="1309"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федеральный бюджет</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lang w:val="ru-RU"/>
              </w:rPr>
              <w:t>283829,5</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218412,8</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273819,5</w:t>
            </w: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267235,5</w:t>
            </w: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Пензенской области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lang w:val="ru-RU"/>
              </w:rPr>
              <w:t>24680,8</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2206,2</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2765,9</w:t>
            </w: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2699,3</w:t>
            </w: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p>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бюджет Кривошеевского сельсовета</w:t>
            </w:r>
          </w:p>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7</w:t>
            </w:r>
            <w:r>
              <w:rPr>
                <w:rFonts w:hint="default" w:ascii="Times New Roman" w:hAnsi="Times New Roman" w:cs="Times New Roman"/>
                <w:sz w:val="22"/>
                <w:szCs w:val="22"/>
                <w:lang w:val="ru-RU"/>
              </w:rPr>
              <w:t>9077,6</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cs="Times New Roman"/>
                <w:sz w:val="22"/>
                <w:szCs w:val="22"/>
                <w:lang w:val="ru-RU"/>
              </w:rPr>
              <w:t>770,0</w:t>
            </w: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r>
              <w:rPr>
                <w:rFonts w:hint="default" w:ascii="Times New Roman" w:hAnsi="Times New Roman" w:cs="Times New Roman"/>
                <w:sz w:val="22"/>
                <w:szCs w:val="22"/>
              </w:rPr>
              <w:t>иные источники</w:t>
            </w:r>
          </w:p>
        </w:tc>
        <w:tc>
          <w:tcPr>
            <w:tcW w:w="1248" w:type="dxa"/>
            <w:tcBorders>
              <w:top w:val="nil"/>
              <w:left w:val="single" w:color="auto" w:sz="4" w:space="0"/>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r>
              <w:rPr>
                <w:rFonts w:hint="default" w:ascii="Times New Roman" w:hAnsi="Times New Roman" w:cs="Times New Roman"/>
                <w:sz w:val="22"/>
                <w:szCs w:val="22"/>
              </w:rPr>
              <w:t>0,0</w:t>
            </w:r>
          </w:p>
        </w:tc>
        <w:tc>
          <w:tcPr>
            <w:tcW w:w="1276" w:type="dxa"/>
            <w:gridSpan w:val="2"/>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vAlign w:val="top"/>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vAlign w:val="center"/>
          </w:tcPr>
          <w:p>
            <w:pPr>
              <w:rPr>
                <w:rFonts w:hint="default" w:ascii="Times New Roman" w:hAnsi="Times New Roman" w:cs="Times New Roman"/>
                <w:sz w:val="22"/>
                <w:szCs w:val="22"/>
              </w:rPr>
            </w:pPr>
          </w:p>
        </w:tc>
        <w:tc>
          <w:tcPr>
            <w:tcW w:w="3118" w:type="dxa"/>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717" w:type="dxa"/>
            <w:vMerge w:val="restart"/>
            <w:tcBorders>
              <w:top w:val="single" w:color="auto" w:sz="4" w:space="0"/>
              <w:left w:val="single" w:color="auto" w:sz="4" w:space="0"/>
              <w:bottom w:val="single" w:color="auto" w:sz="4" w:space="0"/>
              <w:right w:val="single" w:color="auto" w:sz="4" w:space="0"/>
            </w:tcBorders>
          </w:tcPr>
          <w:p>
            <w:pPr>
              <w:spacing w:line="228" w:lineRule="auto"/>
              <w:ind w:left="-100" w:right="-96"/>
              <w:jc w:val="center"/>
              <w:rPr>
                <w:rFonts w:hint="default" w:ascii="Times New Roman" w:hAnsi="Times New Roman" w:cs="Times New Roman"/>
                <w:sz w:val="22"/>
                <w:szCs w:val="22"/>
              </w:rPr>
            </w:pPr>
          </w:p>
        </w:tc>
        <w:tc>
          <w:tcPr>
            <w:tcW w:w="1969" w:type="dxa"/>
            <w:vMerge w:val="restart"/>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single" w:color="auto" w:sz="4" w:space="0"/>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717"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1969"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nil"/>
              <w:left w:val="single" w:color="auto" w:sz="4" w:space="0"/>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76" w:type="dxa"/>
            <w:gridSpan w:val="2"/>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7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414"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309"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c>
          <w:tcPr>
            <w:tcW w:w="1242" w:type="dxa"/>
            <w:tcBorders>
              <w:top w:val="nil"/>
              <w:left w:val="nil"/>
              <w:bottom w:val="single" w:color="auto" w:sz="4" w:space="0"/>
              <w:right w:val="single" w:color="auto" w:sz="4" w:space="0"/>
            </w:tcBorders>
            <w:shd w:val="clear" w:color="000000" w:fill="FFFFFF"/>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restart"/>
          </w:tcPr>
          <w:p>
            <w:pPr>
              <w:jc w:val="center"/>
              <w:rPr>
                <w:rFonts w:hint="default" w:ascii="Times New Roman" w:hAnsi="Times New Roman" w:cs="Times New Roman"/>
                <w:sz w:val="22"/>
                <w:szCs w:val="22"/>
              </w:rPr>
            </w:pPr>
          </w:p>
        </w:tc>
        <w:tc>
          <w:tcPr>
            <w:tcW w:w="1717" w:type="dxa"/>
            <w:vMerge w:val="restart"/>
          </w:tcPr>
          <w:p>
            <w:pPr>
              <w:jc w:val="center"/>
              <w:rPr>
                <w:rFonts w:hint="default" w:ascii="Times New Roman" w:hAnsi="Times New Roman" w:cs="Times New Roman"/>
                <w:sz w:val="22"/>
                <w:szCs w:val="22"/>
              </w:rPr>
            </w:pPr>
          </w:p>
        </w:tc>
        <w:tc>
          <w:tcPr>
            <w:tcW w:w="1969" w:type="dxa"/>
            <w:vMerge w:val="restart"/>
            <w:tcBorders>
              <w:top w:val="single" w:color="auto" w:sz="4" w:space="0"/>
              <w:left w:val="single" w:color="auto" w:sz="4" w:space="0"/>
              <w:right w:val="single" w:color="auto" w:sz="4" w:space="0"/>
            </w:tcBorders>
          </w:tcPr>
          <w:p>
            <w:pPr>
              <w:jc w:val="cente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nil"/>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7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414"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4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tcBorders>
              <w:left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nil"/>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7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414"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4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tcBorders>
              <w:left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nil"/>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7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414"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4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73" w:type="dxa"/>
        </w:trPr>
        <w:tc>
          <w:tcPr>
            <w:tcW w:w="454" w:type="dxa"/>
            <w:gridSpan w:val="2"/>
            <w:vMerge w:val="continue"/>
            <w:vAlign w:val="center"/>
          </w:tcPr>
          <w:p>
            <w:pPr>
              <w:rPr>
                <w:rFonts w:hint="default" w:ascii="Times New Roman" w:hAnsi="Times New Roman" w:cs="Times New Roman"/>
                <w:sz w:val="22"/>
                <w:szCs w:val="22"/>
              </w:rPr>
            </w:pPr>
          </w:p>
        </w:tc>
        <w:tc>
          <w:tcPr>
            <w:tcW w:w="1717" w:type="dxa"/>
            <w:vMerge w:val="continue"/>
            <w:vAlign w:val="center"/>
          </w:tcPr>
          <w:p>
            <w:pPr>
              <w:rPr>
                <w:rFonts w:hint="default" w:ascii="Times New Roman" w:hAnsi="Times New Roman" w:cs="Times New Roman"/>
                <w:sz w:val="22"/>
                <w:szCs w:val="22"/>
              </w:rPr>
            </w:pPr>
          </w:p>
        </w:tc>
        <w:tc>
          <w:tcPr>
            <w:tcW w:w="1969" w:type="dxa"/>
            <w:vMerge w:val="continue"/>
            <w:tcBorders>
              <w:left w:val="single" w:color="auto" w:sz="4" w:space="0"/>
              <w:right w:val="single" w:color="auto" w:sz="4" w:space="0"/>
            </w:tcBorders>
            <w:vAlign w:val="center"/>
          </w:tcPr>
          <w:p>
            <w:pPr>
              <w:rPr>
                <w:rFonts w:hint="default" w:ascii="Times New Roman" w:hAnsi="Times New Roman" w:cs="Times New Roman"/>
                <w:sz w:val="22"/>
                <w:szCs w:val="22"/>
              </w:rPr>
            </w:pPr>
          </w:p>
        </w:tc>
        <w:tc>
          <w:tcPr>
            <w:tcW w:w="3118" w:type="dxa"/>
            <w:tcBorders>
              <w:top w:val="single" w:color="auto" w:sz="4" w:space="0"/>
              <w:left w:val="single" w:color="auto" w:sz="4" w:space="0"/>
              <w:bottom w:val="single" w:color="auto" w:sz="4" w:space="0"/>
              <w:right w:val="single" w:color="auto" w:sz="4" w:space="0"/>
            </w:tcBorders>
          </w:tcPr>
          <w:p>
            <w:pPr>
              <w:spacing w:line="228" w:lineRule="auto"/>
              <w:jc w:val="center"/>
              <w:rPr>
                <w:rFonts w:hint="default" w:ascii="Times New Roman" w:hAnsi="Times New Roman" w:cs="Times New Roman"/>
                <w:sz w:val="22"/>
                <w:szCs w:val="22"/>
              </w:rPr>
            </w:pPr>
          </w:p>
        </w:tc>
        <w:tc>
          <w:tcPr>
            <w:tcW w:w="1248" w:type="dxa"/>
            <w:tcBorders>
              <w:top w:val="single" w:color="auto" w:sz="4" w:space="0"/>
              <w:left w:val="nil"/>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7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414"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309"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c>
          <w:tcPr>
            <w:tcW w:w="1242" w:type="dxa"/>
            <w:tcBorders>
              <w:top w:val="single" w:color="auto" w:sz="4" w:space="0"/>
              <w:left w:val="single" w:color="auto" w:sz="4" w:space="0"/>
              <w:bottom w:val="single" w:color="auto" w:sz="4" w:space="0"/>
              <w:right w:val="single" w:color="auto" w:sz="4" w:space="0"/>
            </w:tcBorders>
            <w:shd w:val="clear" w:color="auto" w:fill="auto"/>
          </w:tcPr>
          <w:p>
            <w:pPr>
              <w:jc w:val="center"/>
              <w:rPr>
                <w:rFonts w:hint="default" w:ascii="Times New Roman" w:hAnsi="Times New Roman" w:cs="Times New Roman"/>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wBefore w:w="34" w:type="dxa"/>
          <w:jc w:val="right"/>
        </w:trPr>
        <w:tc>
          <w:tcPr>
            <w:tcW w:w="9405" w:type="dxa"/>
            <w:gridSpan w:val="6"/>
          </w:tcPr>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p>
            <w:pPr>
              <w:autoSpaceDE w:val="0"/>
              <w:autoSpaceDN w:val="0"/>
              <w:jc w:val="right"/>
              <w:outlineLvl w:val="1"/>
              <w:rPr>
                <w:rFonts w:hint="default" w:ascii="Times New Roman" w:hAnsi="Times New Roman" w:cs="Times New Roman"/>
                <w:sz w:val="22"/>
                <w:szCs w:val="22"/>
              </w:rPr>
            </w:pPr>
          </w:p>
        </w:tc>
        <w:tc>
          <w:tcPr>
            <w:tcW w:w="5953" w:type="dxa"/>
            <w:gridSpan w:val="7"/>
          </w:tcPr>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p>
          <w:p>
            <w:pPr>
              <w:jc w:val="center"/>
              <w:rPr>
                <w:rFonts w:hint="default" w:ascii="Times New Roman" w:hAnsi="Times New Roman" w:cs="Times New Roman"/>
                <w:sz w:val="22"/>
                <w:szCs w:val="22"/>
              </w:rPr>
            </w:pPr>
            <w:r>
              <w:rPr>
                <w:rFonts w:hint="default" w:ascii="Times New Roman" w:hAnsi="Times New Roman" w:cs="Times New Roman"/>
                <w:sz w:val="22"/>
                <w:szCs w:val="22"/>
              </w:rPr>
              <w:t>Приложение № 3</w:t>
            </w:r>
          </w:p>
          <w:p>
            <w:pPr>
              <w:jc w:val="center"/>
              <w:rPr>
                <w:rFonts w:hint="default" w:ascii="Times New Roman" w:hAnsi="Times New Roman" w:cs="Times New Roman"/>
                <w:sz w:val="22"/>
                <w:szCs w:val="22"/>
              </w:rPr>
            </w:pPr>
            <w:r>
              <w:rPr>
                <w:rFonts w:hint="default" w:ascii="Times New Roman" w:hAnsi="Times New Roman" w:cs="Times New Roman"/>
                <w:sz w:val="22"/>
                <w:szCs w:val="22"/>
              </w:rPr>
              <w:t>К муниципальной  программе «Развитие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autoSpaceDE w:val="0"/>
              <w:autoSpaceDN w:val="0"/>
              <w:jc w:val="center"/>
              <w:outlineLvl w:val="1"/>
              <w:rPr>
                <w:rFonts w:hint="default" w:ascii="Times New Roman" w:hAnsi="Times New Roman" w:cs="Times New Roman"/>
                <w:sz w:val="22"/>
                <w:szCs w:val="22"/>
              </w:rPr>
            </w:pPr>
          </w:p>
        </w:tc>
      </w:tr>
    </w:tbl>
    <w:p>
      <w:pPr>
        <w:ind w:firstLine="709"/>
        <w:jc w:val="both"/>
        <w:rPr>
          <w:sz w:val="28"/>
          <w:szCs w:val="28"/>
        </w:rPr>
      </w:pPr>
    </w:p>
    <w:p>
      <w:pPr>
        <w:jc w:val="center"/>
        <w:rPr>
          <w:b/>
          <w:bCs/>
        </w:rPr>
      </w:pPr>
      <w:r>
        <w:rPr>
          <w:b/>
          <w:bCs/>
        </w:rPr>
        <w:t xml:space="preserve">РЕСУРСНОЕ ОБЕСПЕЧЕНИЕ </w:t>
      </w:r>
      <w:r>
        <w:rPr>
          <w:b/>
          <w:bCs/>
        </w:rPr>
        <w:br w:type="textWrapping"/>
      </w:r>
      <w:r>
        <w:rPr>
          <w:b/>
          <w:bCs/>
        </w:rPr>
        <w:t xml:space="preserve">муниципальной программы программы Кривошеевского сельсовета Нижнеломовского района </w:t>
      </w:r>
      <w:r>
        <w:rPr>
          <w:b/>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rPr>
        <w:t xml:space="preserve"> </w:t>
      </w:r>
    </w:p>
    <w:p>
      <w:pPr>
        <w:autoSpaceDE w:val="0"/>
        <w:autoSpaceDN w:val="0"/>
        <w:adjustRightInd w:val="0"/>
        <w:ind w:firstLine="709"/>
        <w:jc w:val="center"/>
        <w:rPr>
          <w:b/>
        </w:rPr>
      </w:pPr>
    </w:p>
    <w:p>
      <w:pPr>
        <w:spacing w:line="220" w:lineRule="auto"/>
        <w:jc w:val="center"/>
        <w:rPr>
          <w:b/>
          <w:bCs/>
        </w:rPr>
      </w:pPr>
    </w:p>
    <w:p>
      <w:pPr>
        <w:spacing w:line="220" w:lineRule="auto"/>
        <w:jc w:val="center"/>
        <w:rPr>
          <w:b/>
          <w:bCs/>
          <w:sz w:val="6"/>
          <w:szCs w:val="6"/>
        </w:rPr>
      </w:pPr>
    </w:p>
    <w:tbl>
      <w:tblPr>
        <w:tblStyle w:val="30"/>
        <w:tblW w:w="1575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715"/>
        <w:gridCol w:w="2108"/>
        <w:gridCol w:w="1990"/>
        <w:gridCol w:w="597"/>
        <w:gridCol w:w="537"/>
        <w:gridCol w:w="438"/>
        <w:gridCol w:w="1305"/>
        <w:gridCol w:w="540"/>
        <w:gridCol w:w="1140"/>
        <w:gridCol w:w="1065"/>
        <w:gridCol w:w="1110"/>
        <w:gridCol w:w="1215"/>
        <w:gridCol w:w="825"/>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8" w:type="dxa"/>
            <w:gridSpan w:val="3"/>
          </w:tcPr>
          <w:p>
            <w:pPr>
              <w:spacing w:line="220" w:lineRule="auto"/>
              <w:jc w:val="center"/>
              <w:rPr>
                <w:sz w:val="22"/>
                <w:szCs w:val="22"/>
              </w:rPr>
            </w:pPr>
            <w:r>
              <w:rPr>
                <w:sz w:val="22"/>
                <w:szCs w:val="22"/>
              </w:rPr>
              <w:t xml:space="preserve">Ответственный исполнитель </w:t>
            </w:r>
            <w:r>
              <w:rPr>
                <w:sz w:val="22"/>
                <w:szCs w:val="22"/>
              </w:rPr>
              <w:br w:type="textWrapping"/>
            </w:r>
            <w:r>
              <w:rPr>
                <w:sz w:val="22"/>
                <w:szCs w:val="22"/>
              </w:rPr>
              <w:t>муниципальной программы</w:t>
            </w:r>
          </w:p>
        </w:tc>
        <w:tc>
          <w:tcPr>
            <w:tcW w:w="11505" w:type="dxa"/>
            <w:gridSpan w:val="12"/>
          </w:tcPr>
          <w:p>
            <w:pPr>
              <w:spacing w:line="220" w:lineRule="auto"/>
              <w:jc w:val="center"/>
              <w:rPr>
                <w:sz w:val="22"/>
                <w:szCs w:val="22"/>
              </w:rPr>
            </w:pPr>
            <w:r>
              <w:rPr>
                <w:sz w:val="22"/>
                <w:szCs w:val="22"/>
              </w:rPr>
              <w:t>Администрация Кривошеевского сельсовета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restart"/>
          </w:tcPr>
          <w:p>
            <w:pPr>
              <w:spacing w:line="220" w:lineRule="auto"/>
              <w:jc w:val="center"/>
              <w:rPr>
                <w:sz w:val="22"/>
                <w:szCs w:val="22"/>
              </w:rPr>
            </w:pPr>
            <w:r>
              <w:rPr>
                <w:sz w:val="22"/>
                <w:szCs w:val="22"/>
              </w:rPr>
              <w:t xml:space="preserve">№ </w:t>
            </w:r>
            <w:r>
              <w:rPr>
                <w:sz w:val="22"/>
                <w:szCs w:val="22"/>
              </w:rPr>
              <w:br w:type="textWrapping"/>
            </w:r>
            <w:r>
              <w:rPr>
                <w:sz w:val="22"/>
                <w:szCs w:val="22"/>
              </w:rPr>
              <w:t>п/п</w:t>
            </w:r>
          </w:p>
        </w:tc>
        <w:tc>
          <w:tcPr>
            <w:tcW w:w="1715" w:type="dxa"/>
            <w:vMerge w:val="restart"/>
          </w:tcPr>
          <w:p>
            <w:pPr>
              <w:spacing w:line="220" w:lineRule="auto"/>
              <w:ind w:left="16" w:hanging="16"/>
              <w:jc w:val="center"/>
              <w:rPr>
                <w:sz w:val="22"/>
                <w:szCs w:val="22"/>
              </w:rPr>
            </w:pPr>
            <w:r>
              <w:rPr>
                <w:sz w:val="22"/>
                <w:szCs w:val="22"/>
              </w:rPr>
              <w:t>Статус</w:t>
            </w:r>
          </w:p>
        </w:tc>
        <w:tc>
          <w:tcPr>
            <w:tcW w:w="2108" w:type="dxa"/>
            <w:vMerge w:val="restart"/>
          </w:tcPr>
          <w:p>
            <w:pPr>
              <w:spacing w:line="220" w:lineRule="auto"/>
              <w:ind w:firstLine="34"/>
              <w:jc w:val="center"/>
              <w:rPr>
                <w:sz w:val="22"/>
                <w:szCs w:val="22"/>
              </w:rPr>
            </w:pPr>
            <w:r>
              <w:rPr>
                <w:sz w:val="22"/>
                <w:szCs w:val="22"/>
              </w:rPr>
              <w:t xml:space="preserve">Наименование муниципальной программы, подпрограммы, </w:t>
            </w:r>
            <w:r>
              <w:rPr>
                <w:sz w:val="22"/>
                <w:szCs w:val="22"/>
              </w:rPr>
              <w:br w:type="textWrapping"/>
            </w:r>
            <w:r>
              <w:rPr>
                <w:sz w:val="22"/>
                <w:szCs w:val="22"/>
              </w:rPr>
              <w:t xml:space="preserve">основного мероприятия </w:t>
            </w:r>
          </w:p>
        </w:tc>
        <w:tc>
          <w:tcPr>
            <w:tcW w:w="1990" w:type="dxa"/>
            <w:vMerge w:val="restart"/>
          </w:tcPr>
          <w:p>
            <w:pPr>
              <w:spacing w:line="220" w:lineRule="auto"/>
              <w:jc w:val="center"/>
              <w:rPr>
                <w:sz w:val="22"/>
                <w:szCs w:val="22"/>
              </w:rPr>
            </w:pPr>
            <w:r>
              <w:rPr>
                <w:sz w:val="22"/>
                <w:szCs w:val="22"/>
              </w:rPr>
              <w:t>Ответственный исполнитель, соисполнитель</w:t>
            </w:r>
          </w:p>
        </w:tc>
        <w:tc>
          <w:tcPr>
            <w:tcW w:w="3417" w:type="dxa"/>
            <w:gridSpan w:val="5"/>
          </w:tcPr>
          <w:p>
            <w:pPr>
              <w:spacing w:line="220" w:lineRule="auto"/>
              <w:jc w:val="center"/>
              <w:rPr>
                <w:sz w:val="22"/>
                <w:szCs w:val="22"/>
              </w:rPr>
            </w:pPr>
            <w:r>
              <w:rPr>
                <w:sz w:val="22"/>
                <w:szCs w:val="22"/>
              </w:rPr>
              <w:t>Код бюджетной классификации &lt;1&gt;</w:t>
            </w:r>
          </w:p>
        </w:tc>
        <w:tc>
          <w:tcPr>
            <w:tcW w:w="6098" w:type="dxa"/>
            <w:gridSpan w:val="6"/>
          </w:tcPr>
          <w:p>
            <w:pPr>
              <w:spacing w:line="220" w:lineRule="auto"/>
              <w:jc w:val="center"/>
              <w:rPr>
                <w:sz w:val="22"/>
                <w:szCs w:val="22"/>
              </w:rPr>
            </w:pPr>
            <w:r>
              <w:rPr>
                <w:sz w:val="22"/>
                <w:szCs w:val="22"/>
              </w:rPr>
              <w:t>Расходы бюджета Кривошеевского сельс</w:t>
            </w:r>
            <w:r>
              <w:rPr>
                <w:sz w:val="22"/>
                <w:szCs w:val="22"/>
                <w:lang w:val="ru-RU"/>
              </w:rPr>
              <w:t>о</w:t>
            </w:r>
            <w:r>
              <w:rPr>
                <w:sz w:val="22"/>
                <w:szCs w:val="22"/>
              </w:rPr>
              <w:t>вета, тыс. руб.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vMerge w:val="continue"/>
            <w:vAlign w:val="center"/>
          </w:tcPr>
          <w:p>
            <w:pPr>
              <w:rPr>
                <w:sz w:val="22"/>
                <w:szCs w:val="22"/>
              </w:rPr>
            </w:pPr>
          </w:p>
        </w:tc>
        <w:tc>
          <w:tcPr>
            <w:tcW w:w="597" w:type="dxa"/>
          </w:tcPr>
          <w:p>
            <w:pPr>
              <w:spacing w:line="220" w:lineRule="auto"/>
              <w:jc w:val="center"/>
              <w:rPr>
                <w:sz w:val="21"/>
                <w:szCs w:val="21"/>
              </w:rPr>
            </w:pPr>
            <w:r>
              <w:rPr>
                <w:sz w:val="21"/>
                <w:szCs w:val="21"/>
              </w:rPr>
              <w:t>ГРБС</w:t>
            </w:r>
          </w:p>
        </w:tc>
        <w:tc>
          <w:tcPr>
            <w:tcW w:w="537" w:type="dxa"/>
          </w:tcPr>
          <w:p>
            <w:pPr>
              <w:spacing w:line="220" w:lineRule="auto"/>
              <w:jc w:val="center"/>
              <w:rPr>
                <w:sz w:val="21"/>
                <w:szCs w:val="21"/>
              </w:rPr>
            </w:pPr>
            <w:r>
              <w:rPr>
                <w:sz w:val="21"/>
                <w:szCs w:val="21"/>
              </w:rPr>
              <w:t>Рз</w:t>
            </w:r>
          </w:p>
        </w:tc>
        <w:tc>
          <w:tcPr>
            <w:tcW w:w="438" w:type="dxa"/>
          </w:tcPr>
          <w:p>
            <w:pPr>
              <w:spacing w:line="220" w:lineRule="auto"/>
              <w:jc w:val="center"/>
              <w:rPr>
                <w:sz w:val="21"/>
                <w:szCs w:val="21"/>
              </w:rPr>
            </w:pPr>
            <w:r>
              <w:rPr>
                <w:sz w:val="21"/>
                <w:szCs w:val="21"/>
              </w:rPr>
              <w:t>Пр</w:t>
            </w:r>
          </w:p>
        </w:tc>
        <w:tc>
          <w:tcPr>
            <w:tcW w:w="1305" w:type="dxa"/>
          </w:tcPr>
          <w:p>
            <w:pPr>
              <w:spacing w:line="220" w:lineRule="auto"/>
              <w:jc w:val="center"/>
              <w:rPr>
                <w:sz w:val="21"/>
                <w:szCs w:val="21"/>
              </w:rPr>
            </w:pPr>
            <w:r>
              <w:rPr>
                <w:sz w:val="21"/>
                <w:szCs w:val="21"/>
              </w:rPr>
              <w:t>ЦС</w:t>
            </w:r>
          </w:p>
        </w:tc>
        <w:tc>
          <w:tcPr>
            <w:tcW w:w="540" w:type="dxa"/>
          </w:tcPr>
          <w:p>
            <w:pPr>
              <w:spacing w:line="220" w:lineRule="auto"/>
              <w:jc w:val="center"/>
              <w:rPr>
                <w:sz w:val="21"/>
                <w:szCs w:val="21"/>
              </w:rPr>
            </w:pPr>
            <w:r>
              <w:rPr>
                <w:sz w:val="21"/>
                <w:szCs w:val="21"/>
              </w:rPr>
              <w:t>ВР</w:t>
            </w:r>
          </w:p>
        </w:tc>
        <w:tc>
          <w:tcPr>
            <w:tcW w:w="1140" w:type="dxa"/>
          </w:tcPr>
          <w:p>
            <w:pPr>
              <w:spacing w:line="220" w:lineRule="auto"/>
              <w:jc w:val="center"/>
              <w:rPr>
                <w:sz w:val="21"/>
                <w:szCs w:val="21"/>
              </w:rPr>
            </w:pPr>
            <w:r>
              <w:rPr>
                <w:sz w:val="21"/>
                <w:szCs w:val="21"/>
              </w:rPr>
              <w:t>2020 г.</w:t>
            </w:r>
          </w:p>
        </w:tc>
        <w:tc>
          <w:tcPr>
            <w:tcW w:w="1065" w:type="dxa"/>
          </w:tcPr>
          <w:p>
            <w:pPr>
              <w:spacing w:line="220" w:lineRule="auto"/>
              <w:jc w:val="center"/>
              <w:rPr>
                <w:sz w:val="21"/>
                <w:szCs w:val="21"/>
              </w:rPr>
            </w:pPr>
            <w:r>
              <w:rPr>
                <w:sz w:val="21"/>
                <w:szCs w:val="21"/>
              </w:rPr>
              <w:t>2021 г.</w:t>
            </w:r>
          </w:p>
        </w:tc>
        <w:tc>
          <w:tcPr>
            <w:tcW w:w="1110" w:type="dxa"/>
          </w:tcPr>
          <w:p>
            <w:pPr>
              <w:spacing w:line="220" w:lineRule="auto"/>
              <w:jc w:val="center"/>
              <w:rPr>
                <w:sz w:val="21"/>
                <w:szCs w:val="21"/>
              </w:rPr>
            </w:pPr>
            <w:r>
              <w:rPr>
                <w:sz w:val="21"/>
                <w:szCs w:val="21"/>
              </w:rPr>
              <w:t>2022 г.</w:t>
            </w:r>
          </w:p>
        </w:tc>
        <w:tc>
          <w:tcPr>
            <w:tcW w:w="1215" w:type="dxa"/>
          </w:tcPr>
          <w:p>
            <w:pPr>
              <w:spacing w:line="220" w:lineRule="auto"/>
              <w:jc w:val="center"/>
              <w:rPr>
                <w:sz w:val="21"/>
                <w:szCs w:val="21"/>
              </w:rPr>
            </w:pPr>
            <w:r>
              <w:rPr>
                <w:sz w:val="21"/>
                <w:szCs w:val="21"/>
              </w:rPr>
              <w:t>2023 г.</w:t>
            </w:r>
          </w:p>
        </w:tc>
        <w:tc>
          <w:tcPr>
            <w:tcW w:w="825" w:type="dxa"/>
          </w:tcPr>
          <w:p>
            <w:pPr>
              <w:jc w:val="center"/>
              <w:rPr>
                <w:sz w:val="21"/>
                <w:szCs w:val="21"/>
              </w:rPr>
            </w:pPr>
            <w:r>
              <w:rPr>
                <w:sz w:val="21"/>
                <w:szCs w:val="21"/>
              </w:rPr>
              <w:t>2024 г.</w:t>
            </w:r>
          </w:p>
        </w:tc>
        <w:tc>
          <w:tcPr>
            <w:tcW w:w="743" w:type="dxa"/>
          </w:tcPr>
          <w:p>
            <w:pPr>
              <w:jc w:val="center"/>
              <w:rPr>
                <w:sz w:val="21"/>
                <w:szCs w:val="21"/>
              </w:rPr>
            </w:pPr>
            <w:r>
              <w:rPr>
                <w:sz w:val="21"/>
                <w:szCs w:val="21"/>
              </w:rPr>
              <w:t>2025 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425" w:type="dxa"/>
          </w:tcPr>
          <w:p>
            <w:pPr>
              <w:spacing w:line="220" w:lineRule="auto"/>
              <w:jc w:val="center"/>
              <w:rPr>
                <w:sz w:val="22"/>
                <w:szCs w:val="22"/>
              </w:rPr>
            </w:pPr>
            <w:r>
              <w:rPr>
                <w:sz w:val="22"/>
                <w:szCs w:val="22"/>
              </w:rPr>
              <w:t>1</w:t>
            </w:r>
          </w:p>
        </w:tc>
        <w:tc>
          <w:tcPr>
            <w:tcW w:w="1715" w:type="dxa"/>
          </w:tcPr>
          <w:p>
            <w:pPr>
              <w:spacing w:line="220" w:lineRule="auto"/>
              <w:jc w:val="center"/>
              <w:rPr>
                <w:sz w:val="22"/>
                <w:szCs w:val="22"/>
              </w:rPr>
            </w:pPr>
            <w:r>
              <w:rPr>
                <w:sz w:val="22"/>
                <w:szCs w:val="22"/>
              </w:rPr>
              <w:t>2</w:t>
            </w:r>
          </w:p>
        </w:tc>
        <w:tc>
          <w:tcPr>
            <w:tcW w:w="2108" w:type="dxa"/>
          </w:tcPr>
          <w:p>
            <w:pPr>
              <w:spacing w:line="220" w:lineRule="auto"/>
              <w:jc w:val="center"/>
              <w:rPr>
                <w:sz w:val="22"/>
                <w:szCs w:val="22"/>
              </w:rPr>
            </w:pPr>
            <w:r>
              <w:rPr>
                <w:sz w:val="22"/>
                <w:szCs w:val="22"/>
              </w:rPr>
              <w:t>3</w:t>
            </w:r>
          </w:p>
        </w:tc>
        <w:tc>
          <w:tcPr>
            <w:tcW w:w="1990" w:type="dxa"/>
          </w:tcPr>
          <w:p>
            <w:pPr>
              <w:spacing w:line="220" w:lineRule="auto"/>
              <w:jc w:val="center"/>
              <w:rPr>
                <w:sz w:val="22"/>
                <w:szCs w:val="22"/>
              </w:rPr>
            </w:pPr>
            <w:r>
              <w:rPr>
                <w:sz w:val="22"/>
                <w:szCs w:val="22"/>
              </w:rPr>
              <w:t>4</w:t>
            </w:r>
          </w:p>
        </w:tc>
        <w:tc>
          <w:tcPr>
            <w:tcW w:w="597" w:type="dxa"/>
          </w:tcPr>
          <w:p>
            <w:pPr>
              <w:spacing w:line="220" w:lineRule="auto"/>
              <w:jc w:val="center"/>
              <w:rPr>
                <w:sz w:val="22"/>
                <w:szCs w:val="22"/>
              </w:rPr>
            </w:pPr>
            <w:r>
              <w:rPr>
                <w:sz w:val="22"/>
                <w:szCs w:val="22"/>
              </w:rPr>
              <w:t>5</w:t>
            </w:r>
          </w:p>
        </w:tc>
        <w:tc>
          <w:tcPr>
            <w:tcW w:w="537" w:type="dxa"/>
          </w:tcPr>
          <w:p>
            <w:pPr>
              <w:spacing w:line="220" w:lineRule="auto"/>
              <w:jc w:val="center"/>
              <w:rPr>
                <w:sz w:val="22"/>
                <w:szCs w:val="22"/>
              </w:rPr>
            </w:pPr>
            <w:r>
              <w:rPr>
                <w:sz w:val="22"/>
                <w:szCs w:val="22"/>
              </w:rPr>
              <w:t>6</w:t>
            </w:r>
          </w:p>
        </w:tc>
        <w:tc>
          <w:tcPr>
            <w:tcW w:w="438" w:type="dxa"/>
          </w:tcPr>
          <w:p>
            <w:pPr>
              <w:spacing w:line="220" w:lineRule="auto"/>
              <w:jc w:val="center"/>
              <w:rPr>
                <w:sz w:val="22"/>
                <w:szCs w:val="22"/>
              </w:rPr>
            </w:pPr>
            <w:r>
              <w:rPr>
                <w:sz w:val="22"/>
                <w:szCs w:val="22"/>
              </w:rPr>
              <w:t>7</w:t>
            </w:r>
          </w:p>
        </w:tc>
        <w:tc>
          <w:tcPr>
            <w:tcW w:w="1305" w:type="dxa"/>
          </w:tcPr>
          <w:p>
            <w:pPr>
              <w:spacing w:line="220" w:lineRule="auto"/>
              <w:jc w:val="center"/>
              <w:rPr>
                <w:sz w:val="22"/>
                <w:szCs w:val="22"/>
              </w:rPr>
            </w:pPr>
            <w:r>
              <w:rPr>
                <w:sz w:val="22"/>
                <w:szCs w:val="22"/>
              </w:rPr>
              <w:t>8</w:t>
            </w:r>
          </w:p>
        </w:tc>
        <w:tc>
          <w:tcPr>
            <w:tcW w:w="540" w:type="dxa"/>
          </w:tcPr>
          <w:p>
            <w:pPr>
              <w:spacing w:line="220" w:lineRule="auto"/>
              <w:jc w:val="center"/>
              <w:rPr>
                <w:sz w:val="22"/>
                <w:szCs w:val="22"/>
              </w:rPr>
            </w:pPr>
            <w:r>
              <w:rPr>
                <w:sz w:val="22"/>
                <w:szCs w:val="22"/>
              </w:rPr>
              <w:t>9</w:t>
            </w:r>
          </w:p>
        </w:tc>
        <w:tc>
          <w:tcPr>
            <w:tcW w:w="1140" w:type="dxa"/>
          </w:tcPr>
          <w:p>
            <w:pPr>
              <w:spacing w:line="220" w:lineRule="auto"/>
              <w:ind w:left="-84" w:right="-80"/>
              <w:jc w:val="center"/>
              <w:rPr>
                <w:sz w:val="22"/>
                <w:szCs w:val="22"/>
              </w:rPr>
            </w:pPr>
            <w:r>
              <w:rPr>
                <w:sz w:val="22"/>
                <w:szCs w:val="22"/>
              </w:rPr>
              <w:t>10</w:t>
            </w:r>
          </w:p>
        </w:tc>
        <w:tc>
          <w:tcPr>
            <w:tcW w:w="1065" w:type="dxa"/>
          </w:tcPr>
          <w:p>
            <w:pPr>
              <w:spacing w:line="220" w:lineRule="auto"/>
              <w:ind w:left="-84" w:right="-80"/>
              <w:jc w:val="center"/>
              <w:rPr>
                <w:sz w:val="22"/>
                <w:szCs w:val="22"/>
              </w:rPr>
            </w:pPr>
            <w:r>
              <w:rPr>
                <w:sz w:val="22"/>
                <w:szCs w:val="22"/>
              </w:rPr>
              <w:t>11</w:t>
            </w:r>
          </w:p>
        </w:tc>
        <w:tc>
          <w:tcPr>
            <w:tcW w:w="1110" w:type="dxa"/>
          </w:tcPr>
          <w:p>
            <w:pPr>
              <w:spacing w:line="220" w:lineRule="auto"/>
              <w:ind w:left="-84" w:right="-80"/>
              <w:jc w:val="center"/>
              <w:rPr>
                <w:sz w:val="22"/>
                <w:szCs w:val="22"/>
              </w:rPr>
            </w:pPr>
            <w:r>
              <w:rPr>
                <w:sz w:val="22"/>
                <w:szCs w:val="22"/>
                <w:lang w:val="en-US"/>
              </w:rPr>
              <w:t>1</w:t>
            </w:r>
            <w:r>
              <w:rPr>
                <w:sz w:val="22"/>
                <w:szCs w:val="22"/>
              </w:rPr>
              <w:t>2</w:t>
            </w:r>
          </w:p>
        </w:tc>
        <w:tc>
          <w:tcPr>
            <w:tcW w:w="1215" w:type="dxa"/>
          </w:tcPr>
          <w:p>
            <w:pPr>
              <w:spacing w:line="220" w:lineRule="auto"/>
              <w:ind w:left="-84" w:right="-80"/>
              <w:jc w:val="center"/>
              <w:rPr>
                <w:sz w:val="22"/>
                <w:szCs w:val="22"/>
              </w:rPr>
            </w:pPr>
            <w:r>
              <w:rPr>
                <w:sz w:val="22"/>
                <w:szCs w:val="22"/>
              </w:rPr>
              <w:t>13</w:t>
            </w:r>
          </w:p>
        </w:tc>
        <w:tc>
          <w:tcPr>
            <w:tcW w:w="825" w:type="dxa"/>
          </w:tcPr>
          <w:p>
            <w:pPr>
              <w:spacing w:line="220" w:lineRule="auto"/>
              <w:ind w:left="-84" w:right="-80"/>
              <w:jc w:val="center"/>
              <w:rPr>
                <w:sz w:val="22"/>
                <w:szCs w:val="22"/>
              </w:rPr>
            </w:pPr>
            <w:r>
              <w:rPr>
                <w:sz w:val="22"/>
                <w:szCs w:val="22"/>
              </w:rPr>
              <w:t>14</w:t>
            </w:r>
          </w:p>
        </w:tc>
        <w:tc>
          <w:tcPr>
            <w:tcW w:w="743" w:type="dxa"/>
          </w:tcPr>
          <w:p>
            <w:pPr>
              <w:spacing w:line="220" w:lineRule="auto"/>
              <w:ind w:left="-84" w:right="-80"/>
              <w:jc w:val="center"/>
              <w:rPr>
                <w:sz w:val="22"/>
                <w:szCs w:val="22"/>
              </w:rPr>
            </w:pPr>
            <w:r>
              <w:rPr>
                <w:sz w:val="22"/>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restart"/>
          </w:tcPr>
          <w:p>
            <w:pPr>
              <w:spacing w:line="220" w:lineRule="auto"/>
              <w:jc w:val="center"/>
              <w:rPr>
                <w:sz w:val="22"/>
                <w:szCs w:val="22"/>
              </w:rPr>
            </w:pPr>
          </w:p>
        </w:tc>
        <w:tc>
          <w:tcPr>
            <w:tcW w:w="1715" w:type="dxa"/>
            <w:vMerge w:val="restart"/>
          </w:tcPr>
          <w:p>
            <w:pPr>
              <w:spacing w:line="220" w:lineRule="auto"/>
              <w:jc w:val="center"/>
              <w:rPr>
                <w:sz w:val="22"/>
                <w:szCs w:val="22"/>
              </w:rPr>
            </w:pPr>
            <w:r>
              <w:rPr>
                <w:sz w:val="22"/>
                <w:szCs w:val="22"/>
              </w:rPr>
              <w:t>муниципальная программа</w:t>
            </w:r>
          </w:p>
        </w:tc>
        <w:tc>
          <w:tcPr>
            <w:tcW w:w="2108" w:type="dxa"/>
            <w:vMerge w:val="restart"/>
          </w:tcPr>
          <w:p>
            <w:pPr>
              <w:jc w:val="center"/>
              <w:rPr>
                <w:sz w:val="22"/>
                <w:szCs w:val="22"/>
              </w:rPr>
            </w:pPr>
            <w:r>
              <w:rPr>
                <w:sz w:val="22"/>
                <w:szCs w:val="22"/>
              </w:rP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spacing w:line="220" w:lineRule="auto"/>
              <w:jc w:val="center"/>
              <w:rPr>
                <w:sz w:val="22"/>
                <w:szCs w:val="22"/>
              </w:rPr>
            </w:pPr>
          </w:p>
        </w:tc>
        <w:tc>
          <w:tcPr>
            <w:tcW w:w="1990" w:type="dxa"/>
          </w:tcPr>
          <w:p>
            <w:pPr>
              <w:spacing w:line="220" w:lineRule="auto"/>
              <w:jc w:val="center"/>
              <w:rPr>
                <w:sz w:val="22"/>
                <w:szCs w:val="22"/>
              </w:rPr>
            </w:pPr>
            <w:r>
              <w:rPr>
                <w:sz w:val="22"/>
                <w:szCs w:val="22"/>
              </w:rPr>
              <w:t>Всего</w:t>
            </w:r>
          </w:p>
        </w:tc>
        <w:tc>
          <w:tcPr>
            <w:tcW w:w="597" w:type="dxa"/>
          </w:tcPr>
          <w:p>
            <w:pPr>
              <w:spacing w:line="220" w:lineRule="auto"/>
              <w:jc w:val="center"/>
              <w:rPr>
                <w:sz w:val="21"/>
                <w:szCs w:val="21"/>
              </w:rPr>
            </w:pPr>
            <w:r>
              <w:rPr>
                <w:sz w:val="21"/>
                <w:szCs w:val="21"/>
              </w:rPr>
              <w:t>Х</w:t>
            </w:r>
          </w:p>
        </w:tc>
        <w:tc>
          <w:tcPr>
            <w:tcW w:w="537" w:type="dxa"/>
          </w:tcPr>
          <w:p>
            <w:pPr>
              <w:spacing w:line="220" w:lineRule="auto"/>
              <w:jc w:val="center"/>
              <w:rPr>
                <w:sz w:val="21"/>
                <w:szCs w:val="21"/>
              </w:rPr>
            </w:pPr>
            <w:r>
              <w:rPr>
                <w:sz w:val="21"/>
                <w:szCs w:val="21"/>
              </w:rPr>
              <w:t>Х</w:t>
            </w:r>
          </w:p>
        </w:tc>
        <w:tc>
          <w:tcPr>
            <w:tcW w:w="438" w:type="dxa"/>
          </w:tcPr>
          <w:p>
            <w:pPr>
              <w:spacing w:line="220" w:lineRule="auto"/>
              <w:jc w:val="center"/>
              <w:rPr>
                <w:sz w:val="21"/>
                <w:szCs w:val="21"/>
              </w:rPr>
            </w:pPr>
            <w:r>
              <w:rPr>
                <w:sz w:val="21"/>
                <w:szCs w:val="21"/>
              </w:rPr>
              <w:t>Х</w:t>
            </w:r>
          </w:p>
        </w:tc>
        <w:tc>
          <w:tcPr>
            <w:tcW w:w="1305" w:type="dxa"/>
          </w:tcPr>
          <w:p>
            <w:pPr>
              <w:spacing w:line="220" w:lineRule="auto"/>
              <w:jc w:val="center"/>
              <w:rPr>
                <w:sz w:val="21"/>
                <w:szCs w:val="21"/>
              </w:rPr>
            </w:pPr>
            <w:r>
              <w:rPr>
                <w:sz w:val="21"/>
                <w:szCs w:val="21"/>
              </w:rPr>
              <w:t>Х</w:t>
            </w:r>
          </w:p>
        </w:tc>
        <w:tc>
          <w:tcPr>
            <w:tcW w:w="540" w:type="dxa"/>
          </w:tcPr>
          <w:p>
            <w:pPr>
              <w:spacing w:line="220" w:lineRule="auto"/>
              <w:jc w:val="center"/>
              <w:rPr>
                <w:sz w:val="21"/>
                <w:szCs w:val="21"/>
              </w:rPr>
            </w:pPr>
            <w:r>
              <w:rPr>
                <w:sz w:val="21"/>
                <w:szCs w:val="21"/>
              </w:rPr>
              <w:t>Х</w:t>
            </w:r>
          </w:p>
        </w:tc>
        <w:tc>
          <w:tcPr>
            <w:tcW w:w="1140" w:type="dxa"/>
            <w:tcBorders>
              <w:top w:val="single" w:color="auto" w:sz="4" w:space="0"/>
              <w:left w:val="single" w:color="auto" w:sz="4" w:space="0"/>
              <w:bottom w:val="single" w:color="auto" w:sz="4" w:space="0"/>
              <w:right w:val="single" w:color="auto" w:sz="4" w:space="0"/>
            </w:tcBorders>
            <w:shd w:val="clear" w:color="000000" w:fill="FFFFFF"/>
          </w:tcPr>
          <w:p>
            <w:pPr>
              <w:jc w:val="center"/>
              <w:rPr>
                <w:b/>
                <w:bCs/>
                <w:sz w:val="21"/>
                <w:szCs w:val="21"/>
                <w:lang w:val="ru-RU"/>
              </w:rPr>
            </w:pPr>
            <w:r>
              <w:rPr>
                <w:b/>
                <w:bCs/>
                <w:sz w:val="21"/>
                <w:szCs w:val="21"/>
              </w:rPr>
              <w:t>387</w:t>
            </w:r>
            <w:r>
              <w:rPr>
                <w:b/>
                <w:bCs/>
                <w:sz w:val="21"/>
                <w:szCs w:val="21"/>
                <w:lang w:val="ru-RU"/>
              </w:rPr>
              <w:t>587,9</w:t>
            </w:r>
          </w:p>
        </w:tc>
        <w:tc>
          <w:tcPr>
            <w:tcW w:w="1065" w:type="dxa"/>
            <w:tcBorders>
              <w:top w:val="single" w:color="auto" w:sz="4" w:space="0"/>
              <w:left w:val="nil"/>
              <w:bottom w:val="single" w:color="auto" w:sz="4" w:space="0"/>
              <w:right w:val="single" w:color="auto" w:sz="4" w:space="0"/>
            </w:tcBorders>
            <w:shd w:val="clear" w:color="000000" w:fill="FFFFFF"/>
            <w:vAlign w:val="top"/>
          </w:tcPr>
          <w:p>
            <w:pPr>
              <w:jc w:val="center"/>
              <w:rPr>
                <w:b/>
                <w:bCs/>
                <w:sz w:val="21"/>
                <w:szCs w:val="21"/>
              </w:rPr>
            </w:pPr>
            <w:r>
              <w:rPr>
                <w:b/>
                <w:bCs/>
                <w:sz w:val="21"/>
                <w:szCs w:val="21"/>
                <w:lang w:val="ru-RU"/>
              </w:rPr>
              <w:t>221389,0</w:t>
            </w:r>
          </w:p>
        </w:tc>
        <w:tc>
          <w:tcPr>
            <w:tcW w:w="1110" w:type="dxa"/>
            <w:tcBorders>
              <w:top w:val="single" w:color="auto" w:sz="4" w:space="0"/>
              <w:left w:val="nil"/>
              <w:bottom w:val="single" w:color="auto" w:sz="4" w:space="0"/>
              <w:right w:val="single" w:color="auto" w:sz="4" w:space="0"/>
            </w:tcBorders>
            <w:shd w:val="clear" w:color="000000" w:fill="FFFFFF"/>
          </w:tcPr>
          <w:p>
            <w:pPr>
              <w:jc w:val="center"/>
              <w:rPr>
                <w:b/>
                <w:bCs/>
                <w:sz w:val="21"/>
                <w:szCs w:val="21"/>
                <w:lang w:val="ru-RU"/>
              </w:rPr>
            </w:pPr>
            <w:r>
              <w:rPr>
                <w:b/>
                <w:bCs/>
                <w:sz w:val="21"/>
                <w:szCs w:val="21"/>
                <w:lang w:val="ru-RU"/>
              </w:rPr>
              <w:t>276585,4</w:t>
            </w:r>
          </w:p>
        </w:tc>
        <w:tc>
          <w:tcPr>
            <w:tcW w:w="1215" w:type="dxa"/>
            <w:tcBorders>
              <w:top w:val="single" w:color="auto" w:sz="4" w:space="0"/>
              <w:left w:val="nil"/>
              <w:bottom w:val="single" w:color="auto" w:sz="4" w:space="0"/>
              <w:right w:val="single" w:color="auto" w:sz="4" w:space="0"/>
            </w:tcBorders>
            <w:shd w:val="clear" w:color="000000" w:fill="FFFFFF"/>
          </w:tcPr>
          <w:p>
            <w:pPr>
              <w:jc w:val="center"/>
              <w:rPr>
                <w:b/>
                <w:bCs/>
                <w:sz w:val="21"/>
                <w:szCs w:val="21"/>
                <w:lang w:val="ru-RU"/>
              </w:rPr>
            </w:pPr>
            <w:r>
              <w:rPr>
                <w:b/>
                <w:bCs/>
                <w:sz w:val="21"/>
                <w:szCs w:val="21"/>
                <w:lang w:val="ru-RU"/>
              </w:rPr>
              <w:t>269934,8</w:t>
            </w:r>
          </w:p>
        </w:tc>
        <w:tc>
          <w:tcPr>
            <w:tcW w:w="825" w:type="dxa"/>
            <w:tcBorders>
              <w:top w:val="single" w:color="auto" w:sz="4" w:space="0"/>
              <w:left w:val="nil"/>
              <w:bottom w:val="single" w:color="auto" w:sz="4" w:space="0"/>
              <w:right w:val="single" w:color="auto" w:sz="4" w:space="0"/>
            </w:tcBorders>
            <w:shd w:val="clear" w:color="000000" w:fill="FFFFFF"/>
          </w:tcPr>
          <w:p>
            <w:pPr>
              <w:jc w:val="center"/>
              <w:rPr>
                <w:b/>
                <w:bCs/>
                <w:sz w:val="21"/>
                <w:szCs w:val="21"/>
              </w:rPr>
            </w:pPr>
          </w:p>
        </w:tc>
        <w:tc>
          <w:tcPr>
            <w:tcW w:w="743" w:type="dxa"/>
            <w:tcBorders>
              <w:top w:val="single" w:color="auto" w:sz="4" w:space="0"/>
              <w:left w:val="nil"/>
              <w:bottom w:val="single" w:color="auto" w:sz="4" w:space="0"/>
              <w:right w:val="single" w:color="auto" w:sz="4" w:space="0"/>
            </w:tcBorders>
            <w:shd w:val="clear" w:color="000000" w:fill="FFFFFF"/>
          </w:tcPr>
          <w:p>
            <w:pPr>
              <w:jc w:val="center"/>
              <w:rPr>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r>
              <w:rPr>
                <w:sz w:val="22"/>
                <w:szCs w:val="22"/>
              </w:rPr>
              <w:t>Администрация Кривошеевского сельсовета</w:t>
            </w:r>
          </w:p>
        </w:tc>
        <w:tc>
          <w:tcPr>
            <w:tcW w:w="597" w:type="dxa"/>
          </w:tcPr>
          <w:p>
            <w:pPr>
              <w:spacing w:line="220" w:lineRule="auto"/>
              <w:jc w:val="center"/>
              <w:rPr>
                <w:sz w:val="21"/>
                <w:szCs w:val="21"/>
              </w:rPr>
            </w:pPr>
            <w:r>
              <w:rPr>
                <w:sz w:val="21"/>
                <w:szCs w:val="21"/>
              </w:rPr>
              <w:t>901</w:t>
            </w:r>
          </w:p>
        </w:tc>
        <w:tc>
          <w:tcPr>
            <w:tcW w:w="537" w:type="dxa"/>
          </w:tcPr>
          <w:p>
            <w:pPr>
              <w:spacing w:line="220" w:lineRule="auto"/>
              <w:jc w:val="center"/>
              <w:rPr>
                <w:sz w:val="21"/>
                <w:szCs w:val="21"/>
              </w:rPr>
            </w:pPr>
            <w:r>
              <w:rPr>
                <w:sz w:val="21"/>
                <w:szCs w:val="21"/>
              </w:rPr>
              <w:t>05</w:t>
            </w:r>
          </w:p>
        </w:tc>
        <w:tc>
          <w:tcPr>
            <w:tcW w:w="438" w:type="dxa"/>
          </w:tcPr>
          <w:p>
            <w:pPr>
              <w:spacing w:line="220" w:lineRule="auto"/>
              <w:jc w:val="center"/>
              <w:rPr>
                <w:sz w:val="21"/>
                <w:szCs w:val="21"/>
              </w:rPr>
            </w:pPr>
            <w:r>
              <w:rPr>
                <w:sz w:val="21"/>
                <w:szCs w:val="21"/>
              </w:rPr>
              <w:t>01</w:t>
            </w:r>
          </w:p>
        </w:tc>
        <w:tc>
          <w:tcPr>
            <w:tcW w:w="1305" w:type="dxa"/>
          </w:tcPr>
          <w:p>
            <w:pPr>
              <w:spacing w:line="220" w:lineRule="auto"/>
              <w:jc w:val="center"/>
              <w:rPr>
                <w:sz w:val="21"/>
                <w:szCs w:val="21"/>
                <w:lang w:val="en-US"/>
              </w:rPr>
            </w:pPr>
            <w:r>
              <w:rPr>
                <w:sz w:val="21"/>
                <w:szCs w:val="21"/>
              </w:rPr>
              <w:t>02101</w:t>
            </w:r>
            <w:r>
              <w:rPr>
                <w:sz w:val="21"/>
                <w:szCs w:val="21"/>
                <w:lang w:val="en-US"/>
              </w:rPr>
              <w:t>L5762</w:t>
            </w:r>
          </w:p>
        </w:tc>
        <w:tc>
          <w:tcPr>
            <w:tcW w:w="540" w:type="dxa"/>
          </w:tcPr>
          <w:p>
            <w:pPr>
              <w:spacing w:line="220" w:lineRule="auto"/>
              <w:jc w:val="center"/>
              <w:rPr>
                <w:sz w:val="21"/>
                <w:szCs w:val="21"/>
                <w:lang w:val="en-US"/>
              </w:rPr>
            </w:pPr>
            <w:r>
              <w:rPr>
                <w:sz w:val="21"/>
                <w:szCs w:val="21"/>
                <w:lang w:val="en-US"/>
              </w:rPr>
              <w:t>410</w:t>
            </w:r>
          </w:p>
        </w:tc>
        <w:tc>
          <w:tcPr>
            <w:tcW w:w="1140"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1"/>
                <w:szCs w:val="21"/>
              </w:rPr>
            </w:pPr>
            <w:r>
              <w:rPr>
                <w:sz w:val="21"/>
                <w:szCs w:val="21"/>
              </w:rPr>
              <w:t>387</w:t>
            </w:r>
            <w:r>
              <w:rPr>
                <w:sz w:val="21"/>
                <w:szCs w:val="21"/>
                <w:lang w:val="ru-RU"/>
              </w:rPr>
              <w:t>587,9</w:t>
            </w:r>
          </w:p>
        </w:tc>
        <w:tc>
          <w:tcPr>
            <w:tcW w:w="1065"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sz w:val="21"/>
                <w:szCs w:val="21"/>
                <w:lang w:val="ru-RU"/>
              </w:rPr>
              <w:t>221389,0</w:t>
            </w:r>
          </w:p>
        </w:tc>
        <w:tc>
          <w:tcPr>
            <w:tcW w:w="1110" w:type="dxa"/>
            <w:tcBorders>
              <w:top w:val="single" w:color="auto" w:sz="4" w:space="0"/>
              <w:left w:val="nil"/>
              <w:bottom w:val="single" w:color="auto" w:sz="4" w:space="0"/>
              <w:right w:val="single" w:color="auto" w:sz="4" w:space="0"/>
            </w:tcBorders>
            <w:shd w:val="clear" w:color="000000" w:fill="FFFFFF"/>
          </w:tcPr>
          <w:p>
            <w:pPr>
              <w:jc w:val="center"/>
              <w:rPr>
                <w:sz w:val="21"/>
                <w:szCs w:val="21"/>
                <w:lang w:val="ru-RU"/>
              </w:rPr>
            </w:pPr>
            <w:r>
              <w:rPr>
                <w:sz w:val="21"/>
                <w:szCs w:val="21"/>
                <w:lang w:val="ru-RU"/>
              </w:rPr>
              <w:t>276585,4</w:t>
            </w:r>
          </w:p>
        </w:tc>
        <w:tc>
          <w:tcPr>
            <w:tcW w:w="1215" w:type="dxa"/>
            <w:tcBorders>
              <w:top w:val="single" w:color="auto" w:sz="4" w:space="0"/>
              <w:left w:val="nil"/>
              <w:bottom w:val="single" w:color="auto" w:sz="4" w:space="0"/>
              <w:right w:val="single" w:color="auto" w:sz="4" w:space="0"/>
            </w:tcBorders>
            <w:shd w:val="clear" w:color="000000" w:fill="FFFFFF"/>
          </w:tcPr>
          <w:p>
            <w:pPr>
              <w:jc w:val="center"/>
              <w:rPr>
                <w:sz w:val="21"/>
                <w:szCs w:val="21"/>
                <w:lang w:val="ru-RU"/>
              </w:rPr>
            </w:pPr>
            <w:r>
              <w:rPr>
                <w:sz w:val="21"/>
                <w:szCs w:val="21"/>
                <w:lang w:val="ru-RU"/>
              </w:rPr>
              <w:t>269934,8</w:t>
            </w:r>
          </w:p>
        </w:tc>
        <w:tc>
          <w:tcPr>
            <w:tcW w:w="82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p>
        </w:tc>
        <w:tc>
          <w:tcPr>
            <w:tcW w:w="597" w:type="dxa"/>
          </w:tcPr>
          <w:p>
            <w:pPr>
              <w:spacing w:line="220" w:lineRule="auto"/>
              <w:jc w:val="center"/>
              <w:rPr>
                <w:sz w:val="21"/>
                <w:szCs w:val="21"/>
              </w:rPr>
            </w:pPr>
          </w:p>
        </w:tc>
        <w:tc>
          <w:tcPr>
            <w:tcW w:w="537" w:type="dxa"/>
          </w:tcPr>
          <w:p>
            <w:pPr>
              <w:spacing w:line="220" w:lineRule="auto"/>
              <w:jc w:val="center"/>
              <w:rPr>
                <w:sz w:val="21"/>
                <w:szCs w:val="21"/>
              </w:rPr>
            </w:pPr>
          </w:p>
        </w:tc>
        <w:tc>
          <w:tcPr>
            <w:tcW w:w="438" w:type="dxa"/>
          </w:tcPr>
          <w:p>
            <w:pPr>
              <w:spacing w:line="220" w:lineRule="auto"/>
              <w:jc w:val="center"/>
              <w:rPr>
                <w:sz w:val="21"/>
                <w:szCs w:val="21"/>
              </w:rPr>
            </w:pPr>
          </w:p>
        </w:tc>
        <w:tc>
          <w:tcPr>
            <w:tcW w:w="1305" w:type="dxa"/>
          </w:tcPr>
          <w:p>
            <w:pPr>
              <w:spacing w:line="220" w:lineRule="auto"/>
              <w:jc w:val="center"/>
              <w:rPr>
                <w:sz w:val="21"/>
                <w:szCs w:val="21"/>
              </w:rPr>
            </w:pPr>
          </w:p>
        </w:tc>
        <w:tc>
          <w:tcPr>
            <w:tcW w:w="540" w:type="dxa"/>
          </w:tcPr>
          <w:p>
            <w:pPr>
              <w:spacing w:line="220" w:lineRule="auto"/>
              <w:jc w:val="center"/>
              <w:rPr>
                <w:sz w:val="21"/>
                <w:szCs w:val="21"/>
              </w:rPr>
            </w:pPr>
          </w:p>
        </w:tc>
        <w:tc>
          <w:tcPr>
            <w:tcW w:w="1140" w:type="dxa"/>
            <w:tcBorders>
              <w:top w:val="single" w:color="auto" w:sz="4" w:space="0"/>
              <w:left w:val="single" w:color="auto" w:sz="4" w:space="0"/>
              <w:bottom w:val="single" w:color="auto" w:sz="4" w:space="0"/>
              <w:right w:val="single" w:color="auto" w:sz="4" w:space="0"/>
            </w:tcBorders>
            <w:shd w:val="clear" w:color="auto" w:fill="auto"/>
          </w:tcPr>
          <w:p>
            <w:pPr>
              <w:jc w:val="center"/>
              <w:rPr>
                <w:sz w:val="21"/>
                <w:szCs w:val="21"/>
              </w:rPr>
            </w:pPr>
          </w:p>
        </w:tc>
        <w:tc>
          <w:tcPr>
            <w:tcW w:w="106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111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121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82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restart"/>
          </w:tcPr>
          <w:p>
            <w:pPr>
              <w:spacing w:line="220" w:lineRule="auto"/>
              <w:jc w:val="center"/>
              <w:rPr>
                <w:sz w:val="22"/>
                <w:szCs w:val="22"/>
              </w:rPr>
            </w:pPr>
          </w:p>
        </w:tc>
        <w:tc>
          <w:tcPr>
            <w:tcW w:w="1715" w:type="dxa"/>
            <w:vMerge w:val="restart"/>
          </w:tcPr>
          <w:p>
            <w:pPr>
              <w:spacing w:line="220" w:lineRule="auto"/>
              <w:jc w:val="center"/>
              <w:rPr>
                <w:sz w:val="22"/>
                <w:szCs w:val="22"/>
              </w:rPr>
            </w:pPr>
            <w:r>
              <w:rPr>
                <w:sz w:val="22"/>
                <w:szCs w:val="22"/>
              </w:rPr>
              <w:t>Подпрограмма 1</w:t>
            </w:r>
          </w:p>
        </w:tc>
        <w:tc>
          <w:tcPr>
            <w:tcW w:w="2108" w:type="dxa"/>
            <w:vMerge w:val="restart"/>
          </w:tcPr>
          <w:p>
            <w:pPr>
              <w:jc w:val="center"/>
              <w:rPr>
                <w:sz w:val="22"/>
                <w:szCs w:val="22"/>
              </w:rPr>
            </w:pPr>
            <w:r>
              <w:rPr>
                <w:sz w:val="22"/>
                <w:szCs w:val="22"/>
              </w:rPr>
              <w:t>Создание условий для обеспечения доступным и комфортным жильем сельского населения</w:t>
            </w:r>
          </w:p>
        </w:tc>
        <w:tc>
          <w:tcPr>
            <w:tcW w:w="1990" w:type="dxa"/>
          </w:tcPr>
          <w:p>
            <w:pPr>
              <w:spacing w:line="220" w:lineRule="auto"/>
              <w:jc w:val="center"/>
              <w:rPr>
                <w:sz w:val="22"/>
                <w:szCs w:val="22"/>
              </w:rPr>
            </w:pPr>
            <w:r>
              <w:rPr>
                <w:sz w:val="22"/>
                <w:szCs w:val="22"/>
              </w:rPr>
              <w:t>Всего</w:t>
            </w:r>
          </w:p>
        </w:tc>
        <w:tc>
          <w:tcPr>
            <w:tcW w:w="597" w:type="dxa"/>
          </w:tcPr>
          <w:p>
            <w:pPr>
              <w:spacing w:line="220" w:lineRule="auto"/>
              <w:jc w:val="center"/>
              <w:rPr>
                <w:sz w:val="21"/>
                <w:szCs w:val="21"/>
              </w:rPr>
            </w:pPr>
            <w:r>
              <w:rPr>
                <w:sz w:val="21"/>
                <w:szCs w:val="21"/>
              </w:rPr>
              <w:t>Х</w:t>
            </w:r>
          </w:p>
        </w:tc>
        <w:tc>
          <w:tcPr>
            <w:tcW w:w="537" w:type="dxa"/>
          </w:tcPr>
          <w:p>
            <w:pPr>
              <w:spacing w:line="220" w:lineRule="auto"/>
              <w:jc w:val="center"/>
              <w:rPr>
                <w:sz w:val="21"/>
                <w:szCs w:val="21"/>
              </w:rPr>
            </w:pPr>
            <w:r>
              <w:rPr>
                <w:sz w:val="21"/>
                <w:szCs w:val="21"/>
              </w:rPr>
              <w:t>Х</w:t>
            </w:r>
          </w:p>
        </w:tc>
        <w:tc>
          <w:tcPr>
            <w:tcW w:w="438" w:type="dxa"/>
          </w:tcPr>
          <w:p>
            <w:pPr>
              <w:spacing w:line="220" w:lineRule="auto"/>
              <w:jc w:val="center"/>
              <w:rPr>
                <w:sz w:val="21"/>
                <w:szCs w:val="21"/>
              </w:rPr>
            </w:pPr>
            <w:r>
              <w:rPr>
                <w:sz w:val="21"/>
                <w:szCs w:val="21"/>
              </w:rPr>
              <w:t>Х</w:t>
            </w:r>
          </w:p>
        </w:tc>
        <w:tc>
          <w:tcPr>
            <w:tcW w:w="1305" w:type="dxa"/>
          </w:tcPr>
          <w:p>
            <w:pPr>
              <w:spacing w:line="220" w:lineRule="auto"/>
              <w:jc w:val="center"/>
              <w:rPr>
                <w:sz w:val="21"/>
                <w:szCs w:val="21"/>
              </w:rPr>
            </w:pPr>
            <w:r>
              <w:rPr>
                <w:sz w:val="21"/>
                <w:szCs w:val="21"/>
              </w:rPr>
              <w:t>Х</w:t>
            </w:r>
          </w:p>
        </w:tc>
        <w:tc>
          <w:tcPr>
            <w:tcW w:w="540" w:type="dxa"/>
          </w:tcPr>
          <w:p>
            <w:pPr>
              <w:spacing w:line="220" w:lineRule="auto"/>
              <w:jc w:val="center"/>
              <w:rPr>
                <w:sz w:val="21"/>
                <w:szCs w:val="21"/>
              </w:rPr>
            </w:pPr>
            <w:r>
              <w:rPr>
                <w:sz w:val="21"/>
                <w:szCs w:val="21"/>
              </w:rPr>
              <w:t>Х</w:t>
            </w:r>
          </w:p>
        </w:tc>
        <w:tc>
          <w:tcPr>
            <w:tcW w:w="1140" w:type="dxa"/>
            <w:tcBorders>
              <w:top w:val="single" w:color="auto" w:sz="4" w:space="0"/>
              <w:left w:val="single" w:color="auto" w:sz="4" w:space="0"/>
              <w:bottom w:val="single" w:color="auto" w:sz="4" w:space="0"/>
              <w:right w:val="single" w:color="auto" w:sz="4" w:space="0"/>
            </w:tcBorders>
            <w:shd w:val="clear" w:color="000000" w:fill="FFFFFF"/>
          </w:tcPr>
          <w:p>
            <w:pPr>
              <w:jc w:val="center"/>
              <w:rPr>
                <w:b/>
                <w:bCs/>
                <w:sz w:val="21"/>
                <w:szCs w:val="21"/>
              </w:rPr>
            </w:pPr>
            <w:r>
              <w:rPr>
                <w:b/>
                <w:bCs/>
                <w:sz w:val="21"/>
                <w:szCs w:val="21"/>
              </w:rPr>
              <w:t>387</w:t>
            </w:r>
            <w:r>
              <w:rPr>
                <w:b/>
                <w:bCs/>
                <w:sz w:val="21"/>
                <w:szCs w:val="21"/>
                <w:lang w:val="ru-RU"/>
              </w:rPr>
              <w:t>587,9</w:t>
            </w:r>
          </w:p>
        </w:tc>
        <w:tc>
          <w:tcPr>
            <w:tcW w:w="1065" w:type="dxa"/>
            <w:tcBorders>
              <w:top w:val="single" w:color="auto" w:sz="4" w:space="0"/>
              <w:left w:val="nil"/>
              <w:bottom w:val="single" w:color="auto" w:sz="4" w:space="0"/>
              <w:right w:val="single" w:color="auto" w:sz="4" w:space="0"/>
            </w:tcBorders>
            <w:shd w:val="clear" w:color="000000" w:fill="FFFFFF"/>
            <w:vAlign w:val="top"/>
          </w:tcPr>
          <w:p>
            <w:pPr>
              <w:jc w:val="center"/>
              <w:rPr>
                <w:b/>
                <w:bCs/>
                <w:sz w:val="21"/>
                <w:szCs w:val="21"/>
              </w:rPr>
            </w:pPr>
            <w:r>
              <w:rPr>
                <w:b/>
                <w:bCs/>
                <w:sz w:val="21"/>
                <w:szCs w:val="21"/>
                <w:lang w:val="ru-RU"/>
              </w:rPr>
              <w:t>221389,0</w:t>
            </w:r>
          </w:p>
        </w:tc>
        <w:tc>
          <w:tcPr>
            <w:tcW w:w="1110" w:type="dxa"/>
            <w:tcBorders>
              <w:top w:val="single" w:color="auto" w:sz="4" w:space="0"/>
              <w:left w:val="nil"/>
              <w:bottom w:val="single" w:color="auto" w:sz="4" w:space="0"/>
              <w:right w:val="single" w:color="auto" w:sz="4" w:space="0"/>
            </w:tcBorders>
            <w:shd w:val="clear" w:color="000000" w:fill="FFFFFF"/>
            <w:vAlign w:val="top"/>
          </w:tcPr>
          <w:p>
            <w:pPr>
              <w:jc w:val="center"/>
              <w:rPr>
                <w:b/>
                <w:bCs/>
                <w:sz w:val="21"/>
                <w:szCs w:val="21"/>
              </w:rPr>
            </w:pPr>
            <w:r>
              <w:rPr>
                <w:b/>
                <w:bCs/>
                <w:sz w:val="21"/>
                <w:szCs w:val="21"/>
                <w:lang w:val="ru-RU"/>
              </w:rPr>
              <w:t>276585,4</w:t>
            </w:r>
          </w:p>
        </w:tc>
        <w:tc>
          <w:tcPr>
            <w:tcW w:w="1215"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b/>
                <w:bCs/>
                <w:sz w:val="21"/>
                <w:szCs w:val="21"/>
                <w:lang w:val="ru-RU"/>
              </w:rPr>
              <w:t>269934,8</w:t>
            </w:r>
          </w:p>
        </w:tc>
        <w:tc>
          <w:tcPr>
            <w:tcW w:w="82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r>
              <w:rPr>
                <w:sz w:val="22"/>
                <w:szCs w:val="22"/>
              </w:rPr>
              <w:t>Администрация Кривошеевского сельсовета</w:t>
            </w:r>
          </w:p>
        </w:tc>
        <w:tc>
          <w:tcPr>
            <w:tcW w:w="597" w:type="dxa"/>
          </w:tcPr>
          <w:p>
            <w:pPr>
              <w:spacing w:line="220" w:lineRule="auto"/>
              <w:jc w:val="center"/>
              <w:rPr>
                <w:sz w:val="21"/>
                <w:szCs w:val="21"/>
              </w:rPr>
            </w:pPr>
            <w:r>
              <w:rPr>
                <w:sz w:val="21"/>
                <w:szCs w:val="21"/>
              </w:rPr>
              <w:t>901</w:t>
            </w:r>
          </w:p>
        </w:tc>
        <w:tc>
          <w:tcPr>
            <w:tcW w:w="537" w:type="dxa"/>
          </w:tcPr>
          <w:p>
            <w:pPr>
              <w:spacing w:line="220" w:lineRule="auto"/>
              <w:jc w:val="center"/>
              <w:rPr>
                <w:sz w:val="21"/>
                <w:szCs w:val="21"/>
              </w:rPr>
            </w:pPr>
            <w:r>
              <w:rPr>
                <w:sz w:val="21"/>
                <w:szCs w:val="21"/>
              </w:rPr>
              <w:t>05</w:t>
            </w:r>
          </w:p>
        </w:tc>
        <w:tc>
          <w:tcPr>
            <w:tcW w:w="438" w:type="dxa"/>
          </w:tcPr>
          <w:p>
            <w:pPr>
              <w:spacing w:line="220" w:lineRule="auto"/>
              <w:jc w:val="center"/>
              <w:rPr>
                <w:sz w:val="21"/>
                <w:szCs w:val="21"/>
              </w:rPr>
            </w:pPr>
            <w:r>
              <w:rPr>
                <w:sz w:val="21"/>
                <w:szCs w:val="21"/>
              </w:rPr>
              <w:t>01</w:t>
            </w:r>
          </w:p>
        </w:tc>
        <w:tc>
          <w:tcPr>
            <w:tcW w:w="1305" w:type="dxa"/>
          </w:tcPr>
          <w:p>
            <w:pPr>
              <w:spacing w:line="220" w:lineRule="auto"/>
              <w:jc w:val="center"/>
              <w:rPr>
                <w:sz w:val="21"/>
                <w:szCs w:val="21"/>
                <w:lang w:val="en-US"/>
              </w:rPr>
            </w:pPr>
            <w:r>
              <w:rPr>
                <w:sz w:val="21"/>
                <w:szCs w:val="21"/>
              </w:rPr>
              <w:t>02101</w:t>
            </w:r>
            <w:r>
              <w:rPr>
                <w:sz w:val="21"/>
                <w:szCs w:val="21"/>
                <w:lang w:val="en-US"/>
              </w:rPr>
              <w:t>L5762</w:t>
            </w:r>
          </w:p>
        </w:tc>
        <w:tc>
          <w:tcPr>
            <w:tcW w:w="540" w:type="dxa"/>
          </w:tcPr>
          <w:p>
            <w:pPr>
              <w:spacing w:line="220" w:lineRule="auto"/>
              <w:jc w:val="center"/>
              <w:rPr>
                <w:sz w:val="21"/>
                <w:szCs w:val="21"/>
                <w:lang w:val="en-US"/>
              </w:rPr>
            </w:pPr>
            <w:r>
              <w:rPr>
                <w:sz w:val="21"/>
                <w:szCs w:val="21"/>
                <w:lang w:val="en-US"/>
              </w:rPr>
              <w:t>410</w:t>
            </w:r>
          </w:p>
        </w:tc>
        <w:tc>
          <w:tcPr>
            <w:tcW w:w="1140" w:type="dxa"/>
            <w:tcBorders>
              <w:top w:val="single" w:color="auto" w:sz="4" w:space="0"/>
              <w:left w:val="single" w:color="auto" w:sz="4" w:space="0"/>
              <w:bottom w:val="single" w:color="auto" w:sz="4" w:space="0"/>
              <w:right w:val="single" w:color="auto" w:sz="4" w:space="0"/>
            </w:tcBorders>
            <w:shd w:val="clear" w:color="000000" w:fill="FFFFFF"/>
          </w:tcPr>
          <w:p>
            <w:pPr>
              <w:jc w:val="center"/>
              <w:rPr>
                <w:sz w:val="21"/>
                <w:szCs w:val="21"/>
              </w:rPr>
            </w:pPr>
            <w:r>
              <w:rPr>
                <w:sz w:val="21"/>
                <w:szCs w:val="21"/>
              </w:rPr>
              <w:t>387</w:t>
            </w:r>
            <w:r>
              <w:rPr>
                <w:sz w:val="21"/>
                <w:szCs w:val="21"/>
                <w:lang w:val="ru-RU"/>
              </w:rPr>
              <w:t>587,9</w:t>
            </w:r>
          </w:p>
        </w:tc>
        <w:tc>
          <w:tcPr>
            <w:tcW w:w="1065"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sz w:val="21"/>
                <w:szCs w:val="21"/>
                <w:lang w:val="ru-RU"/>
              </w:rPr>
              <w:t>221389,0</w:t>
            </w:r>
          </w:p>
        </w:tc>
        <w:tc>
          <w:tcPr>
            <w:tcW w:w="1110"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sz w:val="21"/>
                <w:szCs w:val="21"/>
                <w:lang w:val="ru-RU"/>
              </w:rPr>
              <w:t>276585,4</w:t>
            </w:r>
          </w:p>
        </w:tc>
        <w:tc>
          <w:tcPr>
            <w:tcW w:w="1215"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sz w:val="21"/>
                <w:szCs w:val="21"/>
                <w:lang w:val="ru-RU"/>
              </w:rPr>
              <w:t>269934,8</w:t>
            </w:r>
          </w:p>
        </w:tc>
        <w:tc>
          <w:tcPr>
            <w:tcW w:w="82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8" w:hRule="atLeast"/>
        </w:trPr>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p>
        </w:tc>
        <w:tc>
          <w:tcPr>
            <w:tcW w:w="597" w:type="dxa"/>
          </w:tcPr>
          <w:p>
            <w:pPr>
              <w:spacing w:line="220" w:lineRule="auto"/>
              <w:jc w:val="center"/>
              <w:rPr>
                <w:sz w:val="21"/>
                <w:szCs w:val="21"/>
              </w:rPr>
            </w:pPr>
          </w:p>
        </w:tc>
        <w:tc>
          <w:tcPr>
            <w:tcW w:w="537" w:type="dxa"/>
          </w:tcPr>
          <w:p>
            <w:pPr>
              <w:spacing w:line="220" w:lineRule="auto"/>
              <w:jc w:val="center"/>
              <w:rPr>
                <w:sz w:val="21"/>
                <w:szCs w:val="21"/>
              </w:rPr>
            </w:pPr>
          </w:p>
        </w:tc>
        <w:tc>
          <w:tcPr>
            <w:tcW w:w="438" w:type="dxa"/>
          </w:tcPr>
          <w:p>
            <w:pPr>
              <w:spacing w:line="220" w:lineRule="auto"/>
              <w:jc w:val="center"/>
              <w:rPr>
                <w:sz w:val="21"/>
                <w:szCs w:val="21"/>
              </w:rPr>
            </w:pPr>
          </w:p>
        </w:tc>
        <w:tc>
          <w:tcPr>
            <w:tcW w:w="1305" w:type="dxa"/>
          </w:tcPr>
          <w:p>
            <w:pPr>
              <w:spacing w:line="220" w:lineRule="auto"/>
              <w:jc w:val="center"/>
              <w:rPr>
                <w:sz w:val="21"/>
                <w:szCs w:val="21"/>
              </w:rPr>
            </w:pPr>
          </w:p>
        </w:tc>
        <w:tc>
          <w:tcPr>
            <w:tcW w:w="540" w:type="dxa"/>
          </w:tcPr>
          <w:p>
            <w:pPr>
              <w:spacing w:line="220" w:lineRule="auto"/>
              <w:jc w:val="center"/>
              <w:rPr>
                <w:sz w:val="21"/>
                <w:szCs w:val="21"/>
              </w:rPr>
            </w:pPr>
          </w:p>
        </w:tc>
        <w:tc>
          <w:tcPr>
            <w:tcW w:w="1140" w:type="dxa"/>
            <w:tcBorders>
              <w:top w:val="single" w:color="auto" w:sz="4" w:space="0"/>
              <w:left w:val="single" w:color="auto" w:sz="4" w:space="0"/>
              <w:bottom w:val="single" w:color="auto" w:sz="4" w:space="0"/>
              <w:right w:val="single" w:color="auto" w:sz="4" w:space="0"/>
            </w:tcBorders>
            <w:shd w:val="clear" w:color="auto" w:fill="auto"/>
          </w:tcPr>
          <w:p>
            <w:pPr>
              <w:jc w:val="center"/>
              <w:rPr>
                <w:sz w:val="21"/>
                <w:szCs w:val="21"/>
              </w:rPr>
            </w:pPr>
          </w:p>
        </w:tc>
        <w:tc>
          <w:tcPr>
            <w:tcW w:w="106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111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121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82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restart"/>
          </w:tcPr>
          <w:p>
            <w:pPr>
              <w:spacing w:line="220" w:lineRule="auto"/>
              <w:jc w:val="center"/>
              <w:rPr>
                <w:sz w:val="22"/>
                <w:szCs w:val="22"/>
              </w:rPr>
            </w:pPr>
          </w:p>
        </w:tc>
        <w:tc>
          <w:tcPr>
            <w:tcW w:w="1715" w:type="dxa"/>
            <w:vMerge w:val="restart"/>
          </w:tcPr>
          <w:p>
            <w:pPr>
              <w:spacing w:line="220" w:lineRule="auto"/>
              <w:jc w:val="center"/>
              <w:rPr>
                <w:sz w:val="22"/>
                <w:szCs w:val="22"/>
              </w:rPr>
            </w:pPr>
            <w:r>
              <w:rPr>
                <w:sz w:val="22"/>
                <w:szCs w:val="22"/>
              </w:rPr>
              <w:t>Основное мероприятие</w:t>
            </w:r>
          </w:p>
        </w:tc>
        <w:tc>
          <w:tcPr>
            <w:tcW w:w="2108" w:type="dxa"/>
            <w:vMerge w:val="restart"/>
          </w:tcPr>
          <w:p>
            <w:pPr>
              <w:jc w:val="center"/>
              <w:rPr>
                <w:sz w:val="22"/>
                <w:szCs w:val="22"/>
              </w:rPr>
            </w:pPr>
            <w:r>
              <w:rPr>
                <w:sz w:val="22"/>
                <w:szCs w:val="22"/>
              </w:rPr>
              <w:t>Строительство жилых помещений (жилых домов), предоставляемых гражданам Российской Федерации, проживающим на сельских территориях, по договору найма жилого помещения</w:t>
            </w:r>
          </w:p>
        </w:tc>
        <w:tc>
          <w:tcPr>
            <w:tcW w:w="1990" w:type="dxa"/>
          </w:tcPr>
          <w:p>
            <w:pPr>
              <w:spacing w:line="220" w:lineRule="auto"/>
              <w:jc w:val="center"/>
              <w:rPr>
                <w:sz w:val="22"/>
                <w:szCs w:val="22"/>
              </w:rPr>
            </w:pPr>
            <w:r>
              <w:rPr>
                <w:sz w:val="22"/>
                <w:szCs w:val="22"/>
              </w:rPr>
              <w:t>Всего</w:t>
            </w:r>
          </w:p>
        </w:tc>
        <w:tc>
          <w:tcPr>
            <w:tcW w:w="597" w:type="dxa"/>
          </w:tcPr>
          <w:p>
            <w:pPr>
              <w:spacing w:line="220" w:lineRule="auto"/>
              <w:jc w:val="center"/>
              <w:rPr>
                <w:sz w:val="21"/>
                <w:szCs w:val="21"/>
              </w:rPr>
            </w:pPr>
            <w:r>
              <w:rPr>
                <w:sz w:val="21"/>
                <w:szCs w:val="21"/>
              </w:rPr>
              <w:t>Х</w:t>
            </w:r>
          </w:p>
        </w:tc>
        <w:tc>
          <w:tcPr>
            <w:tcW w:w="537" w:type="dxa"/>
          </w:tcPr>
          <w:p>
            <w:pPr>
              <w:spacing w:line="220" w:lineRule="auto"/>
              <w:jc w:val="center"/>
              <w:rPr>
                <w:sz w:val="21"/>
                <w:szCs w:val="21"/>
              </w:rPr>
            </w:pPr>
            <w:r>
              <w:rPr>
                <w:sz w:val="21"/>
                <w:szCs w:val="21"/>
              </w:rPr>
              <w:t>Х</w:t>
            </w:r>
          </w:p>
        </w:tc>
        <w:tc>
          <w:tcPr>
            <w:tcW w:w="438" w:type="dxa"/>
          </w:tcPr>
          <w:p>
            <w:pPr>
              <w:spacing w:line="220" w:lineRule="auto"/>
              <w:jc w:val="center"/>
              <w:rPr>
                <w:sz w:val="21"/>
                <w:szCs w:val="21"/>
              </w:rPr>
            </w:pPr>
            <w:r>
              <w:rPr>
                <w:sz w:val="21"/>
                <w:szCs w:val="21"/>
              </w:rPr>
              <w:t>Х</w:t>
            </w:r>
          </w:p>
        </w:tc>
        <w:tc>
          <w:tcPr>
            <w:tcW w:w="1305" w:type="dxa"/>
          </w:tcPr>
          <w:p>
            <w:pPr>
              <w:spacing w:line="220" w:lineRule="auto"/>
              <w:jc w:val="center"/>
              <w:rPr>
                <w:sz w:val="21"/>
                <w:szCs w:val="21"/>
              </w:rPr>
            </w:pPr>
            <w:r>
              <w:rPr>
                <w:sz w:val="21"/>
                <w:szCs w:val="21"/>
              </w:rPr>
              <w:t>Х</w:t>
            </w:r>
          </w:p>
        </w:tc>
        <w:tc>
          <w:tcPr>
            <w:tcW w:w="540" w:type="dxa"/>
          </w:tcPr>
          <w:p>
            <w:pPr>
              <w:spacing w:line="220" w:lineRule="auto"/>
              <w:jc w:val="center"/>
              <w:rPr>
                <w:sz w:val="21"/>
                <w:szCs w:val="21"/>
              </w:rPr>
            </w:pPr>
            <w:r>
              <w:rPr>
                <w:sz w:val="21"/>
                <w:szCs w:val="21"/>
              </w:rPr>
              <w:t>Х</w:t>
            </w:r>
          </w:p>
        </w:tc>
        <w:tc>
          <w:tcPr>
            <w:tcW w:w="1140"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b/>
                <w:bCs/>
                <w:sz w:val="21"/>
                <w:szCs w:val="21"/>
              </w:rPr>
            </w:pPr>
            <w:r>
              <w:rPr>
                <w:b/>
                <w:bCs/>
                <w:sz w:val="21"/>
                <w:szCs w:val="21"/>
              </w:rPr>
              <w:t>387</w:t>
            </w:r>
            <w:r>
              <w:rPr>
                <w:b/>
                <w:bCs/>
                <w:sz w:val="21"/>
                <w:szCs w:val="21"/>
                <w:lang w:val="ru-RU"/>
              </w:rPr>
              <w:t>587,9</w:t>
            </w:r>
          </w:p>
        </w:tc>
        <w:tc>
          <w:tcPr>
            <w:tcW w:w="1065" w:type="dxa"/>
            <w:tcBorders>
              <w:top w:val="single" w:color="auto" w:sz="4" w:space="0"/>
              <w:left w:val="nil"/>
              <w:bottom w:val="single" w:color="auto" w:sz="4" w:space="0"/>
              <w:right w:val="single" w:color="auto" w:sz="4" w:space="0"/>
            </w:tcBorders>
            <w:shd w:val="clear" w:color="000000" w:fill="FFFFFF"/>
          </w:tcPr>
          <w:p>
            <w:pPr>
              <w:jc w:val="center"/>
              <w:rPr>
                <w:b/>
                <w:bCs/>
                <w:sz w:val="21"/>
                <w:szCs w:val="21"/>
                <w:lang w:val="ru-RU"/>
              </w:rPr>
            </w:pPr>
            <w:r>
              <w:rPr>
                <w:b/>
                <w:bCs/>
                <w:sz w:val="21"/>
                <w:szCs w:val="21"/>
                <w:lang w:val="ru-RU"/>
              </w:rPr>
              <w:t>221389,0</w:t>
            </w:r>
          </w:p>
        </w:tc>
        <w:tc>
          <w:tcPr>
            <w:tcW w:w="1110" w:type="dxa"/>
            <w:tcBorders>
              <w:top w:val="single" w:color="auto" w:sz="4" w:space="0"/>
              <w:left w:val="nil"/>
              <w:bottom w:val="single" w:color="auto" w:sz="4" w:space="0"/>
              <w:right w:val="single" w:color="auto" w:sz="4" w:space="0"/>
            </w:tcBorders>
            <w:shd w:val="clear" w:color="000000" w:fill="FFFFFF"/>
            <w:vAlign w:val="top"/>
          </w:tcPr>
          <w:p>
            <w:pPr>
              <w:jc w:val="center"/>
              <w:rPr>
                <w:b/>
                <w:bCs/>
                <w:sz w:val="21"/>
                <w:szCs w:val="21"/>
              </w:rPr>
            </w:pPr>
            <w:r>
              <w:rPr>
                <w:b/>
                <w:bCs/>
                <w:sz w:val="21"/>
                <w:szCs w:val="21"/>
                <w:lang w:val="ru-RU"/>
              </w:rPr>
              <w:t>276585,4</w:t>
            </w:r>
          </w:p>
        </w:tc>
        <w:tc>
          <w:tcPr>
            <w:tcW w:w="1215"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b/>
                <w:bCs/>
                <w:sz w:val="21"/>
                <w:szCs w:val="21"/>
                <w:lang w:val="ru-RU"/>
              </w:rPr>
              <w:t>269934,8</w:t>
            </w:r>
          </w:p>
        </w:tc>
        <w:tc>
          <w:tcPr>
            <w:tcW w:w="82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r>
              <w:rPr>
                <w:sz w:val="22"/>
                <w:szCs w:val="22"/>
              </w:rPr>
              <w:t>Администрация Кривошеевского сельсовета</w:t>
            </w:r>
          </w:p>
        </w:tc>
        <w:tc>
          <w:tcPr>
            <w:tcW w:w="597" w:type="dxa"/>
          </w:tcPr>
          <w:p>
            <w:pPr>
              <w:spacing w:line="220" w:lineRule="auto"/>
              <w:jc w:val="center"/>
              <w:rPr>
                <w:sz w:val="21"/>
                <w:szCs w:val="21"/>
              </w:rPr>
            </w:pPr>
            <w:r>
              <w:rPr>
                <w:sz w:val="21"/>
                <w:szCs w:val="21"/>
              </w:rPr>
              <w:t>901</w:t>
            </w:r>
          </w:p>
        </w:tc>
        <w:tc>
          <w:tcPr>
            <w:tcW w:w="537" w:type="dxa"/>
          </w:tcPr>
          <w:p>
            <w:pPr>
              <w:spacing w:line="220" w:lineRule="auto"/>
              <w:jc w:val="center"/>
              <w:rPr>
                <w:sz w:val="21"/>
                <w:szCs w:val="21"/>
              </w:rPr>
            </w:pPr>
            <w:r>
              <w:rPr>
                <w:sz w:val="21"/>
                <w:szCs w:val="21"/>
              </w:rPr>
              <w:t>05</w:t>
            </w:r>
          </w:p>
        </w:tc>
        <w:tc>
          <w:tcPr>
            <w:tcW w:w="438" w:type="dxa"/>
          </w:tcPr>
          <w:p>
            <w:pPr>
              <w:spacing w:line="220" w:lineRule="auto"/>
              <w:jc w:val="center"/>
              <w:rPr>
                <w:sz w:val="21"/>
                <w:szCs w:val="21"/>
              </w:rPr>
            </w:pPr>
            <w:r>
              <w:rPr>
                <w:sz w:val="21"/>
                <w:szCs w:val="21"/>
              </w:rPr>
              <w:t>01</w:t>
            </w:r>
          </w:p>
        </w:tc>
        <w:tc>
          <w:tcPr>
            <w:tcW w:w="1305" w:type="dxa"/>
          </w:tcPr>
          <w:p>
            <w:pPr>
              <w:spacing w:line="220" w:lineRule="auto"/>
              <w:jc w:val="center"/>
              <w:rPr>
                <w:sz w:val="21"/>
                <w:szCs w:val="21"/>
                <w:lang w:val="en-US"/>
              </w:rPr>
            </w:pPr>
            <w:r>
              <w:rPr>
                <w:sz w:val="21"/>
                <w:szCs w:val="21"/>
              </w:rPr>
              <w:t>02101</w:t>
            </w:r>
            <w:r>
              <w:rPr>
                <w:sz w:val="21"/>
                <w:szCs w:val="21"/>
                <w:lang w:val="en-US"/>
              </w:rPr>
              <w:t>L5762</w:t>
            </w:r>
          </w:p>
        </w:tc>
        <w:tc>
          <w:tcPr>
            <w:tcW w:w="540" w:type="dxa"/>
          </w:tcPr>
          <w:p>
            <w:pPr>
              <w:spacing w:line="220" w:lineRule="auto"/>
              <w:jc w:val="center"/>
              <w:rPr>
                <w:sz w:val="21"/>
                <w:szCs w:val="21"/>
                <w:lang w:val="en-US"/>
              </w:rPr>
            </w:pPr>
            <w:r>
              <w:rPr>
                <w:sz w:val="21"/>
                <w:szCs w:val="21"/>
                <w:lang w:val="en-US"/>
              </w:rPr>
              <w:t>410</w:t>
            </w:r>
          </w:p>
        </w:tc>
        <w:tc>
          <w:tcPr>
            <w:tcW w:w="1140" w:type="dxa"/>
            <w:tcBorders>
              <w:top w:val="single" w:color="auto" w:sz="4" w:space="0"/>
              <w:left w:val="single" w:color="auto" w:sz="4" w:space="0"/>
              <w:bottom w:val="single" w:color="auto" w:sz="4" w:space="0"/>
              <w:right w:val="single" w:color="auto" w:sz="4" w:space="0"/>
            </w:tcBorders>
            <w:shd w:val="clear" w:color="000000" w:fill="FFFFFF"/>
            <w:vAlign w:val="top"/>
          </w:tcPr>
          <w:p>
            <w:pPr>
              <w:jc w:val="center"/>
              <w:rPr>
                <w:sz w:val="21"/>
                <w:szCs w:val="21"/>
              </w:rPr>
            </w:pPr>
            <w:r>
              <w:rPr>
                <w:sz w:val="21"/>
                <w:szCs w:val="21"/>
              </w:rPr>
              <w:t>387</w:t>
            </w:r>
            <w:r>
              <w:rPr>
                <w:sz w:val="21"/>
                <w:szCs w:val="21"/>
                <w:lang w:val="ru-RU"/>
              </w:rPr>
              <w:t>587,9</w:t>
            </w:r>
          </w:p>
        </w:tc>
        <w:tc>
          <w:tcPr>
            <w:tcW w:w="1065" w:type="dxa"/>
            <w:tcBorders>
              <w:top w:val="single" w:color="auto" w:sz="4" w:space="0"/>
              <w:left w:val="nil"/>
              <w:bottom w:val="single" w:color="auto" w:sz="4" w:space="0"/>
              <w:right w:val="single" w:color="auto" w:sz="4" w:space="0"/>
            </w:tcBorders>
            <w:shd w:val="clear" w:color="000000" w:fill="FFFFFF"/>
          </w:tcPr>
          <w:p>
            <w:pPr>
              <w:jc w:val="center"/>
              <w:rPr>
                <w:sz w:val="21"/>
                <w:szCs w:val="21"/>
                <w:lang w:val="ru-RU"/>
              </w:rPr>
            </w:pPr>
            <w:r>
              <w:rPr>
                <w:sz w:val="21"/>
                <w:szCs w:val="21"/>
                <w:lang w:val="ru-RU"/>
              </w:rPr>
              <w:t>221389,0</w:t>
            </w:r>
          </w:p>
        </w:tc>
        <w:tc>
          <w:tcPr>
            <w:tcW w:w="1110"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sz w:val="21"/>
                <w:szCs w:val="21"/>
                <w:lang w:val="ru-RU"/>
              </w:rPr>
              <w:t>276585,4</w:t>
            </w:r>
          </w:p>
        </w:tc>
        <w:tc>
          <w:tcPr>
            <w:tcW w:w="1215" w:type="dxa"/>
            <w:tcBorders>
              <w:top w:val="single" w:color="auto" w:sz="4" w:space="0"/>
              <w:left w:val="nil"/>
              <w:bottom w:val="single" w:color="auto" w:sz="4" w:space="0"/>
              <w:right w:val="single" w:color="auto" w:sz="4" w:space="0"/>
            </w:tcBorders>
            <w:shd w:val="clear" w:color="000000" w:fill="FFFFFF"/>
            <w:vAlign w:val="top"/>
          </w:tcPr>
          <w:p>
            <w:pPr>
              <w:jc w:val="center"/>
              <w:rPr>
                <w:sz w:val="21"/>
                <w:szCs w:val="21"/>
              </w:rPr>
            </w:pPr>
            <w:r>
              <w:rPr>
                <w:sz w:val="21"/>
                <w:szCs w:val="21"/>
                <w:lang w:val="ru-RU"/>
              </w:rPr>
              <w:t>269934,8</w:t>
            </w:r>
          </w:p>
        </w:tc>
        <w:tc>
          <w:tcPr>
            <w:tcW w:w="825"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000000" w:fill="FFFFFF"/>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5" w:type="dxa"/>
            <w:vMerge w:val="continue"/>
            <w:vAlign w:val="center"/>
          </w:tcPr>
          <w:p>
            <w:pPr>
              <w:rPr>
                <w:sz w:val="22"/>
                <w:szCs w:val="22"/>
              </w:rPr>
            </w:pPr>
          </w:p>
        </w:tc>
        <w:tc>
          <w:tcPr>
            <w:tcW w:w="1715" w:type="dxa"/>
            <w:vMerge w:val="continue"/>
            <w:vAlign w:val="center"/>
          </w:tcPr>
          <w:p>
            <w:pPr>
              <w:rPr>
                <w:sz w:val="22"/>
                <w:szCs w:val="22"/>
              </w:rPr>
            </w:pPr>
          </w:p>
        </w:tc>
        <w:tc>
          <w:tcPr>
            <w:tcW w:w="2108" w:type="dxa"/>
            <w:vMerge w:val="continue"/>
            <w:vAlign w:val="center"/>
          </w:tcPr>
          <w:p>
            <w:pPr>
              <w:rPr>
                <w:sz w:val="22"/>
                <w:szCs w:val="22"/>
              </w:rPr>
            </w:pPr>
          </w:p>
        </w:tc>
        <w:tc>
          <w:tcPr>
            <w:tcW w:w="1990" w:type="dxa"/>
          </w:tcPr>
          <w:p>
            <w:pPr>
              <w:spacing w:line="220" w:lineRule="auto"/>
              <w:jc w:val="center"/>
              <w:rPr>
                <w:sz w:val="22"/>
                <w:szCs w:val="22"/>
              </w:rPr>
            </w:pPr>
          </w:p>
        </w:tc>
        <w:tc>
          <w:tcPr>
            <w:tcW w:w="597" w:type="dxa"/>
          </w:tcPr>
          <w:p>
            <w:pPr>
              <w:spacing w:line="220" w:lineRule="auto"/>
              <w:jc w:val="center"/>
              <w:rPr>
                <w:sz w:val="21"/>
                <w:szCs w:val="21"/>
              </w:rPr>
            </w:pPr>
          </w:p>
        </w:tc>
        <w:tc>
          <w:tcPr>
            <w:tcW w:w="537" w:type="dxa"/>
          </w:tcPr>
          <w:p>
            <w:pPr>
              <w:spacing w:line="220" w:lineRule="auto"/>
              <w:jc w:val="center"/>
              <w:rPr>
                <w:sz w:val="21"/>
                <w:szCs w:val="21"/>
              </w:rPr>
            </w:pPr>
          </w:p>
        </w:tc>
        <w:tc>
          <w:tcPr>
            <w:tcW w:w="438" w:type="dxa"/>
          </w:tcPr>
          <w:p>
            <w:pPr>
              <w:spacing w:line="220" w:lineRule="auto"/>
              <w:jc w:val="center"/>
              <w:rPr>
                <w:sz w:val="21"/>
                <w:szCs w:val="21"/>
              </w:rPr>
            </w:pPr>
          </w:p>
        </w:tc>
        <w:tc>
          <w:tcPr>
            <w:tcW w:w="1305" w:type="dxa"/>
          </w:tcPr>
          <w:p>
            <w:pPr>
              <w:spacing w:line="220" w:lineRule="auto"/>
              <w:jc w:val="center"/>
              <w:rPr>
                <w:sz w:val="21"/>
                <w:szCs w:val="21"/>
              </w:rPr>
            </w:pPr>
          </w:p>
        </w:tc>
        <w:tc>
          <w:tcPr>
            <w:tcW w:w="540" w:type="dxa"/>
          </w:tcPr>
          <w:p>
            <w:pPr>
              <w:spacing w:line="220" w:lineRule="auto"/>
              <w:jc w:val="center"/>
              <w:rPr>
                <w:sz w:val="21"/>
                <w:szCs w:val="21"/>
              </w:rPr>
            </w:pPr>
          </w:p>
        </w:tc>
        <w:tc>
          <w:tcPr>
            <w:tcW w:w="1140" w:type="dxa"/>
            <w:tcBorders>
              <w:top w:val="single" w:color="auto" w:sz="4" w:space="0"/>
              <w:left w:val="single" w:color="auto" w:sz="4" w:space="0"/>
              <w:bottom w:val="single" w:color="auto" w:sz="4" w:space="0"/>
              <w:right w:val="single" w:color="auto" w:sz="4" w:space="0"/>
            </w:tcBorders>
            <w:shd w:val="clear" w:color="auto" w:fill="auto"/>
          </w:tcPr>
          <w:p>
            <w:pPr>
              <w:jc w:val="center"/>
              <w:rPr>
                <w:sz w:val="21"/>
                <w:szCs w:val="21"/>
              </w:rPr>
            </w:pPr>
          </w:p>
        </w:tc>
        <w:tc>
          <w:tcPr>
            <w:tcW w:w="106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1110"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121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825"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c>
          <w:tcPr>
            <w:tcW w:w="743" w:type="dxa"/>
            <w:tcBorders>
              <w:top w:val="single" w:color="auto" w:sz="4" w:space="0"/>
              <w:left w:val="nil"/>
              <w:bottom w:val="single" w:color="auto" w:sz="4" w:space="0"/>
              <w:right w:val="single" w:color="auto" w:sz="4" w:space="0"/>
            </w:tcBorders>
            <w:shd w:val="clear" w:color="auto" w:fill="auto"/>
          </w:tcPr>
          <w:p>
            <w:pPr>
              <w:jc w:val="center"/>
              <w:rPr>
                <w:sz w:val="21"/>
                <w:szCs w:val="21"/>
              </w:rPr>
            </w:pPr>
          </w:p>
        </w:tc>
      </w:tr>
    </w:tbl>
    <w:p>
      <w:pPr>
        <w:ind w:firstLine="709"/>
        <w:jc w:val="both"/>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tabs>
          <w:tab w:val="center" w:pos="7815"/>
          <w:tab w:val="left" w:pos="11730"/>
        </w:tabs>
        <w:jc w:val="right"/>
        <w:rPr>
          <w:sz w:val="22"/>
          <w:szCs w:val="22"/>
        </w:rPr>
      </w:pPr>
      <w:r>
        <w:tab/>
      </w:r>
      <w:r>
        <w:tab/>
      </w:r>
      <w:r>
        <w:tab/>
      </w:r>
      <w:r>
        <w:rPr>
          <w:sz w:val="22"/>
          <w:szCs w:val="22"/>
        </w:rPr>
        <w:t>Приложение№4</w:t>
      </w:r>
    </w:p>
    <w:p>
      <w:pPr>
        <w:jc w:val="right"/>
        <w:rPr>
          <w:sz w:val="22"/>
          <w:szCs w:val="22"/>
        </w:rPr>
      </w:pPr>
      <w:r>
        <w:rPr>
          <w:sz w:val="22"/>
          <w:szCs w:val="22"/>
        </w:rPr>
        <w:t>к муниципальной  программе «Развитие социальной, инженерной</w:t>
      </w:r>
    </w:p>
    <w:p>
      <w:pPr>
        <w:jc w:val="right"/>
        <w:rPr>
          <w:sz w:val="22"/>
          <w:szCs w:val="22"/>
        </w:rPr>
      </w:pPr>
      <w:r>
        <w:rPr>
          <w:sz w:val="22"/>
          <w:szCs w:val="22"/>
        </w:rPr>
        <w:t xml:space="preserve"> инфраструктуры и строительство жилья на территории</w:t>
      </w:r>
    </w:p>
    <w:p>
      <w:pPr>
        <w:jc w:val="right"/>
        <w:rPr>
          <w:sz w:val="22"/>
          <w:szCs w:val="22"/>
        </w:rPr>
      </w:pPr>
      <w:r>
        <w:rPr>
          <w:sz w:val="22"/>
          <w:szCs w:val="22"/>
        </w:rPr>
        <w:t xml:space="preserve">  Кривошеевского сельсовета </w:t>
      </w:r>
    </w:p>
    <w:p>
      <w:pPr>
        <w:jc w:val="right"/>
        <w:rPr>
          <w:sz w:val="22"/>
          <w:szCs w:val="22"/>
        </w:rPr>
      </w:pPr>
      <w:r>
        <w:rPr>
          <w:sz w:val="22"/>
          <w:szCs w:val="22"/>
        </w:rPr>
        <w:t>Нижнеломовского района на период 2020-2025 годы»</w:t>
      </w:r>
    </w:p>
    <w:p>
      <w:pPr>
        <w:jc w:val="right"/>
        <w:rPr>
          <w:sz w:val="22"/>
          <w:szCs w:val="22"/>
        </w:rPr>
      </w:pPr>
    </w:p>
    <w:p>
      <w:pPr>
        <w:pStyle w:val="116"/>
        <w:ind w:firstLine="540"/>
        <w:jc w:val="both"/>
      </w:pPr>
    </w:p>
    <w:p>
      <w:pPr>
        <w:jc w:val="center"/>
        <w:rPr>
          <w:b/>
        </w:rPr>
      </w:pPr>
      <w:bookmarkStart w:id="0" w:name="Par596"/>
      <w:bookmarkEnd w:id="0"/>
      <w:r>
        <w:rPr>
          <w:b/>
        </w:rPr>
        <w:t>МЕРОПРИЯТИЯ</w:t>
      </w:r>
    </w:p>
    <w:p>
      <w:pPr>
        <w:jc w:val="center"/>
        <w:rPr>
          <w:b/>
          <w:bCs/>
        </w:rPr>
      </w:pPr>
      <w:r>
        <w:rPr>
          <w:b/>
          <w:bCs/>
        </w:rPr>
        <w:t xml:space="preserve">муниципальной программы программы Кривошеевского сельсовета Нижнеломовского района </w:t>
      </w:r>
      <w:r>
        <w:rPr>
          <w:b/>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rPr>
        <w:t xml:space="preserve"> </w:t>
      </w:r>
    </w:p>
    <w:p>
      <w:pPr>
        <w:rPr>
          <w:sz w:val="28"/>
          <w:szCs w:val="28"/>
        </w:rPr>
      </w:pPr>
    </w:p>
    <w:tbl>
      <w:tblPr>
        <w:tblStyle w:val="30"/>
        <w:tblW w:w="18103" w:type="dxa"/>
        <w:tblInd w:w="75" w:type="dxa"/>
        <w:tblLayout w:type="fixed"/>
        <w:tblCellMar>
          <w:top w:w="0" w:type="dxa"/>
          <w:left w:w="75" w:type="dxa"/>
          <w:bottom w:w="0" w:type="dxa"/>
          <w:right w:w="75" w:type="dxa"/>
        </w:tblCellMar>
      </w:tblPr>
      <w:tblGrid>
        <w:gridCol w:w="702"/>
        <w:gridCol w:w="3409"/>
        <w:gridCol w:w="2410"/>
        <w:gridCol w:w="758"/>
        <w:gridCol w:w="178"/>
        <w:gridCol w:w="819"/>
        <w:gridCol w:w="371"/>
        <w:gridCol w:w="1276"/>
        <w:gridCol w:w="1370"/>
        <w:gridCol w:w="189"/>
        <w:gridCol w:w="1051"/>
        <w:gridCol w:w="1460"/>
        <w:gridCol w:w="1302"/>
        <w:gridCol w:w="936"/>
        <w:gridCol w:w="936"/>
        <w:gridCol w:w="936"/>
      </w:tblGrid>
      <w:tr>
        <w:tblPrEx>
          <w:tblLayout w:type="fixed"/>
          <w:tblCellMar>
            <w:top w:w="0" w:type="dxa"/>
            <w:left w:w="75" w:type="dxa"/>
            <w:bottom w:w="0" w:type="dxa"/>
            <w:right w:w="75" w:type="dxa"/>
          </w:tblCellMar>
        </w:tblPrEx>
        <w:trPr>
          <w:gridAfter w:val="3"/>
          <w:wAfter w:w="2808" w:type="dxa"/>
        </w:trPr>
        <w:tc>
          <w:tcPr>
            <w:tcW w:w="702" w:type="dxa"/>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p>
          <w:p>
            <w:pPr>
              <w:rPr>
                <w:rFonts w:hint="default" w:ascii="Times New Roman" w:hAnsi="Times New Roman" w:cs="Times New Roman"/>
                <w:sz w:val="22"/>
                <w:szCs w:val="22"/>
              </w:rPr>
            </w:pPr>
            <w:r>
              <w:rPr>
                <w:rFonts w:hint="default" w:ascii="Times New Roman" w:hAnsi="Times New Roman" w:cs="Times New Roman"/>
                <w:sz w:val="22"/>
                <w:szCs w:val="22"/>
              </w:rPr>
              <w:t xml:space="preserve">№ п/п </w:t>
            </w:r>
          </w:p>
        </w:tc>
        <w:tc>
          <w:tcPr>
            <w:tcW w:w="3409" w:type="dxa"/>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Наименование  </w:t>
            </w: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мероприятия   </w:t>
            </w:r>
          </w:p>
        </w:tc>
        <w:tc>
          <w:tcPr>
            <w:tcW w:w="2410" w:type="dxa"/>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Исполнители  </w:t>
            </w:r>
          </w:p>
        </w:tc>
        <w:tc>
          <w:tcPr>
            <w:tcW w:w="936" w:type="dxa"/>
            <w:gridSpan w:val="2"/>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Срок  </w:t>
            </w:r>
          </w:p>
          <w:p>
            <w:pPr>
              <w:rPr>
                <w:rFonts w:hint="default" w:ascii="Times New Roman" w:hAnsi="Times New Roman" w:cs="Times New Roman"/>
                <w:sz w:val="22"/>
                <w:szCs w:val="22"/>
              </w:rPr>
            </w:pPr>
            <w:r>
              <w:rPr>
                <w:rFonts w:hint="default" w:ascii="Times New Roman" w:hAnsi="Times New Roman" w:cs="Times New Roman"/>
                <w:sz w:val="22"/>
                <w:szCs w:val="22"/>
              </w:rPr>
              <w:t>испол-</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нения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(год) </w:t>
            </w:r>
          </w:p>
        </w:tc>
        <w:tc>
          <w:tcPr>
            <w:tcW w:w="6536" w:type="dxa"/>
            <w:gridSpan w:val="7"/>
            <w:tcBorders>
              <w:top w:val="single" w:color="000000" w:sz="0"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Объем финансирования, тыс. рублей     </w:t>
            </w:r>
          </w:p>
        </w:tc>
        <w:tc>
          <w:tcPr>
            <w:tcW w:w="1302" w:type="dxa"/>
            <w:tcBorders>
              <w:top w:val="single" w:color="000000" w:sz="0"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Показатели  </w:t>
            </w:r>
          </w:p>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результата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мероприятия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по  </w:t>
            </w:r>
            <w:r>
              <w:rPr>
                <w:rFonts w:hint="default" w:ascii="Times New Roman" w:hAnsi="Times New Roman" w:eastAsia="Courier New" w:cs="Times New Roman"/>
                <w:sz w:val="22"/>
                <w:szCs w:val="22"/>
              </w:rPr>
              <w:t xml:space="preserve">годам     </w:t>
            </w:r>
          </w:p>
        </w:tc>
      </w:tr>
      <w:tr>
        <w:tblPrEx>
          <w:tblLayout w:type="fixed"/>
          <w:tblCellMar>
            <w:top w:w="0" w:type="dxa"/>
            <w:left w:w="75" w:type="dxa"/>
            <w:bottom w:w="0" w:type="dxa"/>
            <w:right w:w="75" w:type="dxa"/>
          </w:tblCellMar>
        </w:tblPrEx>
        <w:trPr>
          <w:gridAfter w:val="3"/>
          <w:wAfter w:w="2808" w:type="dxa"/>
        </w:trPr>
        <w:tc>
          <w:tcPr>
            <w:tcW w:w="702"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3409"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2410" w:type="dxa"/>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936" w:type="dxa"/>
            <w:gridSpan w:val="2"/>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819"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всего</w:t>
            </w:r>
          </w:p>
        </w:tc>
        <w:tc>
          <w:tcPr>
            <w:tcW w:w="1647"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eastAsia="Courier New" w:cs="Times New Roman"/>
                <w:sz w:val="22"/>
                <w:szCs w:val="22"/>
              </w:rPr>
              <w:t>Федеральный бюджет</w:t>
            </w:r>
          </w:p>
        </w:tc>
        <w:tc>
          <w:tcPr>
            <w:tcW w:w="137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eastAsia="Courier New" w:cs="Times New Roman"/>
                <w:sz w:val="22"/>
                <w:szCs w:val="22"/>
              </w:rPr>
            </w:pPr>
            <w:r>
              <w:rPr>
                <w:rFonts w:hint="default" w:ascii="Times New Roman" w:hAnsi="Times New Roman" w:cs="Times New Roman"/>
                <w:sz w:val="22"/>
                <w:szCs w:val="22"/>
              </w:rPr>
              <w:t xml:space="preserve">Бюджет Пензенской области </w:t>
            </w:r>
          </w:p>
        </w:tc>
        <w:tc>
          <w:tcPr>
            <w:tcW w:w="1240"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Бюджет Кривошеевского сельсовета </w:t>
            </w:r>
          </w:p>
        </w:tc>
        <w:tc>
          <w:tcPr>
            <w:tcW w:w="146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внебюджетные  </w:t>
            </w:r>
          </w:p>
          <w:p>
            <w:pPr>
              <w:rPr>
                <w:rFonts w:hint="default" w:ascii="Times New Roman" w:hAnsi="Times New Roman" w:cs="Times New Roman"/>
                <w:sz w:val="22"/>
                <w:szCs w:val="22"/>
              </w:rPr>
            </w:pPr>
            <w:r>
              <w:rPr>
                <w:rFonts w:hint="default" w:ascii="Times New Roman" w:hAnsi="Times New Roman" w:cs="Times New Roman"/>
                <w:sz w:val="22"/>
                <w:szCs w:val="22"/>
              </w:rPr>
              <w:t>средства</w:t>
            </w:r>
          </w:p>
        </w:tc>
        <w:tc>
          <w:tcPr>
            <w:tcW w:w="1302" w:type="dxa"/>
            <w:tcBorders>
              <w:top w:val="single" w:color="000000" w:sz="8" w:space="0"/>
              <w:left w:val="single" w:color="000000" w:sz="0" w:space="0"/>
              <w:bottom w:val="single" w:color="000000" w:sz="8" w:space="0"/>
              <w:right w:val="single" w:color="000000" w:sz="0" w:space="0"/>
            </w:tcBorders>
            <w:shd w:val="clear" w:color="auto" w:fill="auto"/>
          </w:tcPr>
          <w:p>
            <w:pPr>
              <w:snapToGrid w:val="0"/>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1  </w:t>
            </w:r>
          </w:p>
        </w:tc>
        <w:tc>
          <w:tcPr>
            <w:tcW w:w="3409"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2        </w:t>
            </w:r>
          </w:p>
        </w:tc>
        <w:tc>
          <w:tcPr>
            <w:tcW w:w="241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3       </w:t>
            </w:r>
          </w:p>
        </w:tc>
        <w:tc>
          <w:tcPr>
            <w:tcW w:w="936"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4   </w:t>
            </w:r>
          </w:p>
        </w:tc>
        <w:tc>
          <w:tcPr>
            <w:tcW w:w="819"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5  </w:t>
            </w:r>
          </w:p>
        </w:tc>
        <w:tc>
          <w:tcPr>
            <w:tcW w:w="1647"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6     </w:t>
            </w:r>
          </w:p>
        </w:tc>
        <w:tc>
          <w:tcPr>
            <w:tcW w:w="137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7   </w:t>
            </w:r>
          </w:p>
        </w:tc>
        <w:tc>
          <w:tcPr>
            <w:tcW w:w="1240" w:type="dxa"/>
            <w:gridSpan w:val="2"/>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8   </w:t>
            </w:r>
          </w:p>
        </w:tc>
        <w:tc>
          <w:tcPr>
            <w:tcW w:w="1460" w:type="dxa"/>
            <w:tcBorders>
              <w:top w:val="single" w:color="000000" w:sz="8" w:space="0"/>
              <w:left w:val="single" w:color="000000" w:sz="0" w:space="0"/>
              <w:bottom w:val="single" w:color="000000" w:sz="8"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9    </w:t>
            </w:r>
          </w:p>
        </w:tc>
        <w:tc>
          <w:tcPr>
            <w:tcW w:w="1302" w:type="dxa"/>
            <w:tcBorders>
              <w:top w:val="single" w:color="000000" w:sz="8"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10      </w:t>
            </w:r>
          </w:p>
        </w:tc>
      </w:tr>
      <w:tr>
        <w:tblPrEx>
          <w:tblLayout w:type="fixed"/>
          <w:tblCellMar>
            <w:top w:w="0" w:type="dxa"/>
            <w:left w:w="75" w:type="dxa"/>
            <w:bottom w:w="0" w:type="dxa"/>
            <w:right w:w="75" w:type="dxa"/>
          </w:tblCellMar>
        </w:tblPrEx>
        <w:tc>
          <w:tcPr>
            <w:tcW w:w="15295" w:type="dxa"/>
            <w:gridSpan w:val="13"/>
            <w:tcBorders>
              <w:top w:val="single" w:color="000000" w:sz="8" w:space="0"/>
              <w:left w:val="single" w:color="000000" w:sz="0" w:space="0"/>
              <w:bottom w:val="single" w:color="000000" w:sz="8" w:space="0"/>
              <w:right w:val="single" w:color="000000" w:sz="0"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Подпрограмма 1 Создание условий для обеспечения доступным и комфортным жильем сельского населения</w:t>
            </w:r>
          </w:p>
        </w:tc>
        <w:tc>
          <w:tcPr>
            <w:tcW w:w="936" w:type="dxa"/>
          </w:tcPr>
          <w:p>
            <w:pPr>
              <w:rPr>
                <w:rFonts w:hint="default" w:ascii="Times New Roman" w:hAnsi="Times New Roman" w:cs="Times New Roman"/>
                <w:sz w:val="22"/>
                <w:szCs w:val="22"/>
              </w:rPr>
            </w:pPr>
          </w:p>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r>
              <w:rPr>
                <w:rFonts w:hint="default" w:ascii="Times New Roman" w:hAnsi="Times New Roman" w:cs="Times New Roman"/>
                <w:sz w:val="22"/>
                <w:szCs w:val="22"/>
              </w:rPr>
              <w:t>2018</w:t>
            </w:r>
          </w:p>
        </w:tc>
      </w:tr>
      <w:tr>
        <w:tblPrEx>
          <w:tblLayout w:type="fixed"/>
          <w:tblCellMar>
            <w:top w:w="0" w:type="dxa"/>
            <w:left w:w="75" w:type="dxa"/>
            <w:bottom w:w="0" w:type="dxa"/>
            <w:right w:w="75" w:type="dxa"/>
          </w:tblCellMar>
        </w:tblPrEx>
        <w:tc>
          <w:tcPr>
            <w:tcW w:w="15295" w:type="dxa"/>
            <w:gridSpan w:val="13"/>
            <w:tcBorders>
              <w:top w:val="single" w:color="000000" w:sz="8" w:space="0"/>
              <w:left w:val="single" w:color="000000" w:sz="0" w:space="0"/>
              <w:bottom w:val="single" w:color="000000" w:sz="8" w:space="0"/>
              <w:right w:val="single" w:color="000000" w:sz="0" w:space="0"/>
            </w:tcBorders>
            <w:shd w:val="clear" w:color="auto" w:fill="auto"/>
          </w:tcPr>
          <w:p>
            <w:pPr>
              <w:pStyle w:val="69"/>
              <w:widowControl/>
              <w:jc w:val="left"/>
              <w:rPr>
                <w:rFonts w:hint="default" w:ascii="Times New Roman" w:hAnsi="Times New Roman" w:cs="Times New Roman"/>
                <w:sz w:val="22"/>
                <w:szCs w:val="22"/>
              </w:rPr>
            </w:pPr>
            <w:r>
              <w:rPr>
                <w:rFonts w:hint="default" w:ascii="Times New Roman" w:hAnsi="Times New Roman" w:cs="Times New Roman"/>
                <w:sz w:val="22"/>
                <w:szCs w:val="22"/>
              </w:rPr>
              <w:t>Цели подпрограммы:</w:t>
            </w:r>
          </w:p>
          <w:p>
            <w:pPr>
              <w:pStyle w:val="78"/>
              <w:shd w:val="clear" w:color="auto" w:fill="auto"/>
              <w:tabs>
                <w:tab w:val="left" w:pos="1919"/>
                <w:tab w:val="center" w:pos="4372"/>
                <w:tab w:val="right" w:pos="6614"/>
              </w:tabs>
              <w:spacing w:before="0" w:line="322" w:lineRule="exact"/>
              <w:ind w:left="100" w:firstLine="0"/>
              <w:jc w:val="left"/>
              <w:rPr>
                <w:rFonts w:hint="default" w:ascii="Times New Roman" w:hAnsi="Times New Roman" w:cs="Times New Roman"/>
                <w:sz w:val="22"/>
                <w:szCs w:val="22"/>
              </w:rPr>
            </w:pPr>
            <w:r>
              <w:rPr>
                <w:rStyle w:val="79"/>
                <w:rFonts w:hint="default" w:ascii="Times New Roman" w:hAnsi="Times New Roman" w:eastAsia="SimSun" w:cs="Times New Roman"/>
                <w:sz w:val="22"/>
                <w:szCs w:val="22"/>
              </w:rPr>
              <w:t>Улучшение</w:t>
            </w:r>
            <w:r>
              <w:rPr>
                <w:rStyle w:val="79"/>
                <w:rFonts w:hint="default" w:ascii="Times New Roman" w:hAnsi="Times New Roman" w:cs="Times New Roman" w:eastAsiaTheme="minorHAnsi"/>
                <w:sz w:val="22"/>
                <w:szCs w:val="22"/>
              </w:rPr>
              <w:tab/>
            </w:r>
            <w:r>
              <w:rPr>
                <w:rStyle w:val="79"/>
                <w:rFonts w:hint="default" w:ascii="Times New Roman" w:hAnsi="Times New Roman" w:cs="Times New Roman" w:eastAsiaTheme="minorHAnsi"/>
                <w:sz w:val="22"/>
                <w:szCs w:val="22"/>
              </w:rPr>
              <w:t>жилищных</w:t>
            </w:r>
            <w:r>
              <w:rPr>
                <w:rStyle w:val="79"/>
                <w:rFonts w:hint="default" w:ascii="Times New Roman" w:hAnsi="Times New Roman" w:cs="Times New Roman" w:eastAsiaTheme="minorHAnsi"/>
                <w:sz w:val="22"/>
                <w:szCs w:val="22"/>
              </w:rPr>
              <w:tab/>
            </w:r>
            <w:r>
              <w:rPr>
                <w:rStyle w:val="79"/>
                <w:rFonts w:hint="default" w:ascii="Times New Roman" w:hAnsi="Times New Roman" w:cs="Times New Roman" w:eastAsiaTheme="minorHAnsi"/>
                <w:sz w:val="22"/>
                <w:szCs w:val="22"/>
              </w:rPr>
              <w:t>условий</w:t>
            </w:r>
            <w:r>
              <w:rPr>
                <w:rStyle w:val="79"/>
                <w:rFonts w:hint="default" w:ascii="Times New Roman" w:hAnsi="Times New Roman" w:cs="Times New Roman" w:eastAsiaTheme="minorHAnsi"/>
                <w:sz w:val="22"/>
                <w:szCs w:val="22"/>
              </w:rPr>
              <w:tab/>
            </w:r>
            <w:r>
              <w:rPr>
                <w:rStyle w:val="79"/>
                <w:rFonts w:hint="default" w:ascii="Times New Roman" w:hAnsi="Times New Roman" w:cs="Times New Roman" w:eastAsiaTheme="minorHAnsi"/>
                <w:sz w:val="22"/>
                <w:szCs w:val="22"/>
              </w:rPr>
              <w:t>граждан,</w:t>
            </w:r>
          </w:p>
          <w:p>
            <w:pPr>
              <w:pStyle w:val="69"/>
              <w:widowControl/>
              <w:spacing w:line="200" w:lineRule="atLeast"/>
              <w:contextualSpacing/>
              <w:jc w:val="left"/>
              <w:rPr>
                <w:rStyle w:val="79"/>
                <w:rFonts w:hint="default" w:ascii="Times New Roman" w:hAnsi="Times New Roman" w:cs="Times New Roman"/>
                <w:sz w:val="22"/>
                <w:szCs w:val="22"/>
              </w:rPr>
            </w:pPr>
            <w:r>
              <w:rPr>
                <w:rStyle w:val="79"/>
                <w:rFonts w:hint="default" w:ascii="Times New Roman" w:hAnsi="Times New Roman" w:cs="Times New Roman"/>
                <w:sz w:val="22"/>
                <w:szCs w:val="22"/>
              </w:rPr>
              <w:t>проживающих на сельских территориях</w:t>
            </w:r>
          </w:p>
          <w:p>
            <w:pPr>
              <w:pStyle w:val="69"/>
              <w:widowControl/>
              <w:jc w:val="left"/>
              <w:rPr>
                <w:rFonts w:hint="default" w:ascii="Times New Roman" w:hAnsi="Times New Roman" w:cs="Times New Roman"/>
                <w:sz w:val="22"/>
                <w:szCs w:val="22"/>
              </w:rPr>
            </w:pPr>
            <w:r>
              <w:rPr>
                <w:rFonts w:hint="default" w:ascii="Times New Roman" w:hAnsi="Times New Roman" w:cs="Times New Roman"/>
                <w:sz w:val="22"/>
                <w:szCs w:val="22"/>
              </w:rPr>
              <w:t>обеспечение создания комфортных условий жизнедеятельности в сельской местности</w:t>
            </w: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c>
          <w:tcPr>
            <w:tcW w:w="15295" w:type="dxa"/>
            <w:gridSpan w:val="13"/>
            <w:tcBorders>
              <w:top w:val="single" w:color="000000" w:sz="8" w:space="0"/>
              <w:left w:val="single" w:color="000000" w:sz="0" w:space="0"/>
              <w:bottom w:val="single" w:color="000000" w:sz="8" w:space="0"/>
              <w:right w:val="single" w:color="000000" w:sz="0" w:space="0"/>
            </w:tcBorders>
            <w:shd w:val="clear" w:color="auto" w:fill="auto"/>
          </w:tcPr>
          <w:p>
            <w:pPr>
              <w:pStyle w:val="24"/>
              <w:rPr>
                <w:rFonts w:hint="default" w:ascii="Times New Roman" w:hAnsi="Times New Roman" w:cs="Times New Roman"/>
                <w:sz w:val="22"/>
                <w:szCs w:val="22"/>
              </w:rPr>
            </w:pPr>
            <w:r>
              <w:rPr>
                <w:rFonts w:hint="default" w:ascii="Times New Roman" w:hAnsi="Times New Roman" w:cs="Times New Roman"/>
                <w:sz w:val="22"/>
                <w:szCs w:val="22"/>
              </w:rPr>
              <w:t>Задачи подпрограммы:</w:t>
            </w:r>
          </w:p>
          <w:p>
            <w:pPr>
              <w:pStyle w:val="80"/>
              <w:tabs>
                <w:tab w:val="left" w:pos="900"/>
                <w:tab w:val="left" w:pos="1080"/>
              </w:tabs>
              <w:spacing w:after="0" w:line="200" w:lineRule="atLeast"/>
              <w:ind w:left="91"/>
              <w:contextualSpacing/>
              <w:rPr>
                <w:rFonts w:hint="default" w:ascii="Times New Roman" w:hAnsi="Times New Roman" w:cs="Times New Roman"/>
                <w:sz w:val="22"/>
                <w:szCs w:val="22"/>
              </w:rPr>
            </w:pPr>
            <w:r>
              <w:rPr>
                <w:rFonts w:hint="default" w:ascii="Times New Roman" w:hAnsi="Times New Roman" w:cs="Times New Roman"/>
                <w:sz w:val="22"/>
                <w:szCs w:val="22"/>
              </w:rPr>
              <w:t>удовлетворение потребностей сельского населения в благоустроенном жилье</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c>
          <w:tcPr>
            <w:tcW w:w="936" w:type="dxa"/>
          </w:tcPr>
          <w:p>
            <w:pP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1.1</w:t>
            </w:r>
          </w:p>
        </w:tc>
        <w:tc>
          <w:tcPr>
            <w:tcW w:w="3409" w:type="dxa"/>
            <w:vMerge w:val="restart"/>
            <w:tcBorders>
              <w:top w:val="single" w:color="auto" w:sz="4" w:space="0"/>
              <w:left w:val="single" w:color="auto" w:sz="4" w:space="0"/>
              <w:right w:val="single" w:color="auto" w:sz="4" w:space="0"/>
            </w:tcBorders>
            <w:shd w:val="clear" w:color="auto" w:fill="auto"/>
          </w:tcPr>
          <w:p>
            <w:pPr>
              <w:pStyle w:val="80"/>
              <w:tabs>
                <w:tab w:val="left" w:pos="900"/>
                <w:tab w:val="left" w:pos="1080"/>
              </w:tabs>
              <w:spacing w:after="0" w:line="200" w:lineRule="atLeast"/>
              <w:ind w:left="91"/>
              <w:contextualSpacing/>
              <w:rPr>
                <w:rFonts w:hint="default" w:ascii="Times New Roman" w:hAnsi="Times New Roman" w:cs="Times New Roman"/>
                <w:sz w:val="22"/>
                <w:szCs w:val="22"/>
              </w:rPr>
            </w:pPr>
            <w:r>
              <w:rPr>
                <w:rFonts w:hint="default" w:ascii="Times New Roman" w:hAnsi="Times New Roman" w:cs="Times New Roman"/>
                <w:sz w:val="22"/>
                <w:szCs w:val="22"/>
              </w:rPr>
              <w:t>Основное мероприятие</w:t>
            </w:r>
          </w:p>
          <w:p>
            <w:pPr>
              <w:snapToGrid w:val="0"/>
              <w:rPr>
                <w:rFonts w:hint="default" w:ascii="Times New Roman" w:hAnsi="Times New Roman" w:cs="Times New Roman"/>
                <w:sz w:val="22"/>
                <w:szCs w:val="22"/>
              </w:rPr>
            </w:pPr>
            <w:r>
              <w:rPr>
                <w:rFonts w:hint="default" w:ascii="Times New Roman" w:hAnsi="Times New Roman" w:cs="Times New Roman"/>
                <w:sz w:val="22"/>
                <w:szCs w:val="22"/>
              </w:rPr>
              <w:t>Строительство жилых помещений (жилых домов), предоставляемых гражданам Российской Федерации, проживающим на сельских территориях, по договору найма жилого помещения</w:t>
            </w:r>
          </w:p>
        </w:tc>
        <w:tc>
          <w:tcPr>
            <w:tcW w:w="2410" w:type="dxa"/>
            <w:vMerge w:val="restart"/>
            <w:tcBorders>
              <w:top w:val="single" w:color="auto" w:sz="4" w:space="0"/>
              <w:left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Администрация Кривошеевского сельсовета Нижнеломовского района Пензенской области </w:t>
            </w: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b/>
                <w:bCs/>
                <w:sz w:val="22"/>
                <w:szCs w:val="22"/>
              </w:rPr>
              <w:t>Итого</w:t>
            </w:r>
            <w:r>
              <w:rPr>
                <w:rFonts w:hint="default" w:ascii="Times New Roman" w:hAnsi="Times New Roman" w:cs="Times New Roman"/>
                <w:sz w:val="22"/>
                <w:szCs w:val="22"/>
              </w:rPr>
              <w:t xml:space="preserve">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bCs w:val="0"/>
                <w:sz w:val="22"/>
                <w:szCs w:val="22"/>
                <w:lang w:val="ru-RU"/>
              </w:rPr>
            </w:pPr>
            <w:r>
              <w:rPr>
                <w:rFonts w:hint="default" w:cs="Times New Roman"/>
                <w:b/>
                <w:bCs w:val="0"/>
                <w:sz w:val="22"/>
                <w:szCs w:val="22"/>
                <w:lang w:val="ru-RU"/>
              </w:rPr>
              <w:t>1155497,1</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bCs w:val="0"/>
                <w:sz w:val="22"/>
                <w:szCs w:val="22"/>
                <w:lang w:val="ru-RU"/>
              </w:rPr>
            </w:pPr>
            <w:r>
              <w:rPr>
                <w:rFonts w:hint="default" w:cs="Times New Roman"/>
                <w:b/>
                <w:bCs w:val="0"/>
                <w:sz w:val="22"/>
                <w:szCs w:val="22"/>
                <w:lang w:val="ru-RU"/>
              </w:rPr>
              <w:t>1043297,3</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bCs w:val="0"/>
                <w:sz w:val="22"/>
                <w:szCs w:val="22"/>
                <w:lang w:val="ru-RU"/>
              </w:rPr>
            </w:pPr>
            <w:r>
              <w:rPr>
                <w:rFonts w:hint="default" w:cs="Times New Roman"/>
                <w:b/>
                <w:bCs w:val="0"/>
                <w:sz w:val="22"/>
                <w:szCs w:val="22"/>
                <w:lang w:val="ru-RU"/>
              </w:rPr>
              <w:t>32352,2</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bCs w:val="0"/>
                <w:sz w:val="22"/>
                <w:szCs w:val="22"/>
              </w:rPr>
            </w:pPr>
            <w:r>
              <w:rPr>
                <w:rFonts w:hint="default" w:ascii="Times New Roman" w:hAnsi="Times New Roman" w:cs="Times New Roman"/>
                <w:b/>
                <w:bCs w:val="0"/>
                <w:sz w:val="22"/>
                <w:szCs w:val="22"/>
                <w:lang w:val="ru-RU"/>
              </w:rPr>
              <w:t>7</w:t>
            </w:r>
            <w:r>
              <w:rPr>
                <w:rFonts w:hint="default" w:cs="Times New Roman"/>
                <w:b/>
                <w:bCs w:val="0"/>
                <w:sz w:val="22"/>
                <w:szCs w:val="22"/>
                <w:lang w:val="ru-RU"/>
              </w:rPr>
              <w:t>9847</w:t>
            </w:r>
            <w:r>
              <w:rPr>
                <w:rFonts w:hint="default" w:ascii="Times New Roman" w:hAnsi="Times New Roman" w:cs="Times New Roman"/>
                <w:b/>
                <w:bCs w:val="0"/>
                <w:sz w:val="22"/>
                <w:szCs w:val="22"/>
                <w:lang w:val="ru-RU"/>
              </w:rPr>
              <w:t>,6</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330" w:hRule="atLeast"/>
        </w:trPr>
        <w:tc>
          <w:tcPr>
            <w:tcW w:w="702" w:type="dxa"/>
            <w:vMerge w:val="restart"/>
            <w:tcBorders>
              <w:top w:val="single" w:color="auto" w:sz="4" w:space="0"/>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2020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ascii="Times New Roman" w:hAnsi="Times New Roman" w:cs="Times New Roman"/>
                <w:b w:val="0"/>
                <w:bCs/>
                <w:sz w:val="22"/>
                <w:szCs w:val="22"/>
                <w:lang w:val="ru-RU"/>
              </w:rPr>
              <w:t>387587,9</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ascii="Times New Roman" w:hAnsi="Times New Roman" w:cs="Times New Roman"/>
                <w:b w:val="0"/>
                <w:bCs/>
                <w:sz w:val="22"/>
                <w:szCs w:val="22"/>
                <w:lang w:val="ru-RU"/>
              </w:rPr>
              <w:t>283829,5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val="0"/>
                <w:bCs/>
                <w:sz w:val="22"/>
                <w:szCs w:val="22"/>
                <w:lang w:val="ru-RU"/>
              </w:rPr>
            </w:pPr>
            <w:r>
              <w:rPr>
                <w:rFonts w:hint="default" w:ascii="Times New Roman" w:hAnsi="Times New Roman" w:cs="Times New Roman"/>
                <w:b w:val="0"/>
                <w:bCs/>
                <w:sz w:val="22"/>
                <w:szCs w:val="22"/>
                <w:lang w:val="ru-RU"/>
              </w:rPr>
              <w:t>24680,8</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lang w:val="ru-RU"/>
              </w:rPr>
            </w:pPr>
            <w:r>
              <w:rPr>
                <w:rFonts w:hint="default" w:ascii="Times New Roman" w:hAnsi="Times New Roman" w:cs="Times New Roman"/>
                <w:sz w:val="22"/>
                <w:szCs w:val="22"/>
                <w:lang w:val="ru-RU"/>
              </w:rPr>
              <w:t>79077,6</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2021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cs="Times New Roman"/>
                <w:b w:val="0"/>
                <w:bCs/>
                <w:sz w:val="22"/>
                <w:szCs w:val="22"/>
                <w:lang w:val="ru-RU"/>
              </w:rPr>
              <w:t>221389,0</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cs="Times New Roman"/>
                <w:b w:val="0"/>
                <w:bCs/>
                <w:sz w:val="22"/>
                <w:szCs w:val="22"/>
                <w:lang w:val="ru-RU"/>
              </w:rPr>
              <w:t>218412,8</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val="0"/>
                <w:bCs/>
                <w:sz w:val="22"/>
                <w:szCs w:val="22"/>
                <w:lang w:val="ru-RU"/>
              </w:rPr>
            </w:pPr>
            <w:r>
              <w:rPr>
                <w:rFonts w:hint="default" w:cs="Times New Roman"/>
                <w:b w:val="0"/>
                <w:bCs/>
                <w:sz w:val="22"/>
                <w:szCs w:val="22"/>
                <w:lang w:val="ru-RU"/>
              </w:rPr>
              <w:t>2206,2</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lang w:val="ru-RU"/>
              </w:rPr>
            </w:pPr>
            <w:r>
              <w:rPr>
                <w:rFonts w:hint="default" w:cs="Times New Roman"/>
                <w:sz w:val="22"/>
                <w:szCs w:val="22"/>
                <w:lang w:val="ru-RU"/>
              </w:rPr>
              <w:t>770,0</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2022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cs="Times New Roman"/>
                <w:b w:val="0"/>
                <w:bCs/>
                <w:sz w:val="22"/>
                <w:szCs w:val="22"/>
                <w:lang w:val="ru-RU"/>
              </w:rPr>
              <w:t>276585,4</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cs="Times New Roman"/>
                <w:b w:val="0"/>
                <w:bCs/>
                <w:sz w:val="22"/>
                <w:szCs w:val="22"/>
                <w:lang w:val="ru-RU"/>
              </w:rPr>
              <w:t>273819,5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val="0"/>
                <w:bCs/>
                <w:sz w:val="22"/>
                <w:szCs w:val="22"/>
                <w:lang w:val="ru-RU"/>
              </w:rPr>
            </w:pPr>
            <w:r>
              <w:rPr>
                <w:rFonts w:hint="default" w:cs="Times New Roman"/>
                <w:b w:val="0"/>
                <w:bCs/>
                <w:sz w:val="22"/>
                <w:szCs w:val="22"/>
                <w:lang w:val="ru-RU"/>
              </w:rPr>
              <w:t>2765,9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2023</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cs="Times New Roman"/>
                <w:b w:val="0"/>
                <w:bCs/>
                <w:sz w:val="22"/>
                <w:szCs w:val="22"/>
                <w:lang w:val="ru-RU"/>
              </w:rPr>
              <w:t>269934,8</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b w:val="0"/>
                <w:bCs/>
                <w:sz w:val="22"/>
                <w:szCs w:val="22"/>
                <w:lang w:val="ru-RU"/>
              </w:rPr>
            </w:pPr>
            <w:r>
              <w:rPr>
                <w:rFonts w:hint="default" w:cs="Times New Roman"/>
                <w:b w:val="0"/>
                <w:bCs/>
                <w:sz w:val="22"/>
                <w:szCs w:val="22"/>
                <w:lang w:val="ru-RU"/>
              </w:rPr>
              <w:t>267235,5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val="0"/>
                <w:bCs/>
                <w:sz w:val="22"/>
                <w:szCs w:val="22"/>
                <w:lang w:val="ru-RU"/>
              </w:rPr>
            </w:pPr>
            <w:r>
              <w:rPr>
                <w:rFonts w:hint="default" w:cs="Times New Roman"/>
                <w:b w:val="0"/>
                <w:bCs/>
                <w:sz w:val="22"/>
                <w:szCs w:val="22"/>
                <w:lang w:val="ru-RU"/>
              </w:rPr>
              <w:t>2699,3</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2024</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2025</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309" w:hRule="atLeast"/>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139" w:hRule="atLeast"/>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bookmarkStart w:id="2" w:name="_GoBack"/>
            <w:bookmarkEnd w:id="2"/>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255" w:hRule="atLeast"/>
        </w:trPr>
        <w:tc>
          <w:tcPr>
            <w:tcW w:w="702"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255" w:hRule="atLeast"/>
        </w:trPr>
        <w:tc>
          <w:tcPr>
            <w:tcW w:w="702" w:type="dxa"/>
            <w:vMerge w:val="continue"/>
            <w:tcBorders>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3409" w:type="dxa"/>
            <w:vMerge w:val="continue"/>
            <w:tcBorders>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2410" w:type="dxa"/>
            <w:vMerge w:val="continue"/>
            <w:tcBorders>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126" w:hRule="atLeast"/>
        </w:trPr>
        <w:tc>
          <w:tcPr>
            <w:tcW w:w="6521" w:type="dxa"/>
            <w:gridSpan w:val="3"/>
            <w:vMerge w:val="restart"/>
            <w:tcBorders>
              <w:top w:val="single" w:color="000000" w:sz="8" w:space="0"/>
              <w:left w:val="single" w:color="000000" w:sz="0" w:space="0"/>
              <w:right w:val="single" w:color="auto" w:sz="4" w:space="0"/>
            </w:tcBorders>
            <w:shd w:val="clear" w:color="auto" w:fill="auto"/>
          </w:tcPr>
          <w:p>
            <w:pPr>
              <w:snapToGrid w:val="0"/>
              <w:jc w:val="right"/>
              <w:rPr>
                <w:rFonts w:hint="default" w:ascii="Times New Roman" w:hAnsi="Times New Roman" w:cs="Times New Roman"/>
                <w:sz w:val="22"/>
                <w:szCs w:val="22"/>
              </w:rPr>
            </w:pPr>
            <w:r>
              <w:rPr>
                <w:rFonts w:hint="default" w:ascii="Times New Roman" w:hAnsi="Times New Roman" w:cs="Times New Roman"/>
                <w:b/>
                <w:bCs/>
                <w:sz w:val="22"/>
                <w:szCs w:val="22"/>
              </w:rPr>
              <w:t>Итого по программе</w:t>
            </w: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lang w:val="ru-RU"/>
              </w:rPr>
            </w:pPr>
            <w:r>
              <w:rPr>
                <w:rFonts w:hint="default" w:cs="Times New Roman"/>
                <w:b/>
                <w:bCs/>
                <w:sz w:val="22"/>
                <w:szCs w:val="22"/>
                <w:lang w:val="ru-RU"/>
              </w:rPr>
              <w:t>Итого</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bCs w:val="0"/>
                <w:sz w:val="22"/>
                <w:szCs w:val="22"/>
                <w:lang w:val="ru-RU"/>
              </w:rPr>
              <w:t>1155497,1</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bCs w:val="0"/>
                <w:sz w:val="22"/>
                <w:szCs w:val="22"/>
                <w:lang w:val="ru-RU"/>
              </w:rPr>
              <w:t>1043297,3</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r>
              <w:rPr>
                <w:rFonts w:hint="default" w:cs="Times New Roman"/>
                <w:b/>
                <w:bCs w:val="0"/>
                <w:sz w:val="22"/>
                <w:szCs w:val="22"/>
                <w:lang w:val="ru-RU"/>
              </w:rPr>
              <w:t>32352,2</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r>
              <w:rPr>
                <w:rFonts w:hint="default" w:ascii="Times New Roman" w:hAnsi="Times New Roman" w:cs="Times New Roman"/>
                <w:b/>
                <w:bCs w:val="0"/>
                <w:sz w:val="22"/>
                <w:szCs w:val="22"/>
                <w:lang w:val="ru-RU"/>
              </w:rPr>
              <w:t>7</w:t>
            </w:r>
            <w:r>
              <w:rPr>
                <w:rFonts w:hint="default" w:cs="Times New Roman"/>
                <w:b/>
                <w:bCs w:val="0"/>
                <w:sz w:val="22"/>
                <w:szCs w:val="22"/>
                <w:lang w:val="ru-RU"/>
              </w:rPr>
              <w:t>9847</w:t>
            </w:r>
            <w:r>
              <w:rPr>
                <w:rFonts w:hint="default" w:ascii="Times New Roman" w:hAnsi="Times New Roman" w:cs="Times New Roman"/>
                <w:b/>
                <w:bCs w:val="0"/>
                <w:sz w:val="22"/>
                <w:szCs w:val="22"/>
                <w:lang w:val="ru-RU"/>
              </w:rPr>
              <w:t>,6</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Height w:val="146" w:hRule="atLeast"/>
        </w:trPr>
        <w:tc>
          <w:tcPr>
            <w:tcW w:w="6521" w:type="dxa"/>
            <w:gridSpan w:val="3"/>
            <w:vMerge w:val="continue"/>
            <w:tcBorders>
              <w:left w:val="single" w:color="000000" w:sz="0" w:space="0"/>
              <w:right w:val="single" w:color="auto" w:sz="4" w:space="0"/>
            </w:tcBorders>
            <w:shd w:val="clear" w:color="auto" w:fill="auto"/>
          </w:tcPr>
          <w:p>
            <w:pPr>
              <w:snapToGrid w:val="0"/>
              <w:jc w:val="right"/>
              <w:rPr>
                <w:rFonts w:hint="default" w:ascii="Times New Roman" w:hAnsi="Times New Roman" w:cs="Times New Roman"/>
                <w:b/>
                <w:bCs/>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vAlign w:val="top"/>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2020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ascii="Times New Roman" w:hAnsi="Times New Roman" w:cs="Times New Roman"/>
                <w:b w:val="0"/>
                <w:bCs/>
                <w:sz w:val="22"/>
                <w:szCs w:val="22"/>
                <w:lang w:val="ru-RU"/>
              </w:rPr>
              <w:t>387587,9</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ascii="Times New Roman" w:hAnsi="Times New Roman" w:cs="Times New Roman"/>
                <w:b w:val="0"/>
                <w:bCs/>
                <w:sz w:val="22"/>
                <w:szCs w:val="22"/>
                <w:lang w:val="ru-RU"/>
              </w:rPr>
              <w:t>283829,5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r>
              <w:rPr>
                <w:rFonts w:hint="default" w:ascii="Times New Roman" w:hAnsi="Times New Roman" w:cs="Times New Roman"/>
                <w:b w:val="0"/>
                <w:bCs/>
                <w:sz w:val="22"/>
                <w:szCs w:val="22"/>
                <w:lang w:val="ru-RU"/>
              </w:rPr>
              <w:t>24680,8</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r>
              <w:rPr>
                <w:rFonts w:hint="default" w:ascii="Times New Roman" w:hAnsi="Times New Roman" w:cs="Times New Roman"/>
                <w:sz w:val="22"/>
                <w:szCs w:val="22"/>
                <w:lang w:val="ru-RU"/>
              </w:rPr>
              <w:t>79077,6</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2021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val="0"/>
                <w:bCs/>
                <w:sz w:val="22"/>
                <w:szCs w:val="22"/>
                <w:lang w:val="ru-RU"/>
              </w:rPr>
              <w:t>221389,0</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val="0"/>
                <w:bCs/>
                <w:sz w:val="22"/>
                <w:szCs w:val="22"/>
                <w:lang w:val="ru-RU"/>
              </w:rPr>
              <w:t>218412,8</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r>
              <w:rPr>
                <w:rFonts w:hint="default" w:cs="Times New Roman"/>
                <w:b w:val="0"/>
                <w:bCs/>
                <w:sz w:val="22"/>
                <w:szCs w:val="22"/>
                <w:lang w:val="ru-RU"/>
              </w:rPr>
              <w:t>2206,2</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r>
              <w:rPr>
                <w:rFonts w:hint="default" w:cs="Times New Roman"/>
                <w:sz w:val="22"/>
                <w:szCs w:val="22"/>
                <w:lang w:val="ru-RU"/>
              </w:rPr>
              <w:t>770,0</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2022 </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val="0"/>
                <w:bCs/>
                <w:sz w:val="22"/>
                <w:szCs w:val="22"/>
                <w:lang w:val="ru-RU"/>
              </w:rPr>
              <w:t>276585,4</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b/>
                <w:sz w:val="22"/>
                <w:szCs w:val="22"/>
              </w:rPr>
            </w:pPr>
            <w:r>
              <w:rPr>
                <w:rFonts w:hint="default" w:cs="Times New Roman"/>
                <w:b w:val="0"/>
                <w:bCs/>
                <w:sz w:val="22"/>
                <w:szCs w:val="22"/>
                <w:lang w:val="ru-RU"/>
              </w:rPr>
              <w:t>273819,5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b/>
                <w:sz w:val="22"/>
                <w:szCs w:val="22"/>
              </w:rPr>
            </w:pPr>
            <w:r>
              <w:rPr>
                <w:rFonts w:hint="default" w:cs="Times New Roman"/>
                <w:b w:val="0"/>
                <w:bCs/>
                <w:sz w:val="22"/>
                <w:szCs w:val="22"/>
                <w:lang w:val="ru-RU"/>
              </w:rPr>
              <w:t>2765,9</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2023</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sz w:val="22"/>
                <w:szCs w:val="22"/>
              </w:rPr>
            </w:pPr>
            <w:r>
              <w:rPr>
                <w:rFonts w:hint="default" w:cs="Times New Roman"/>
                <w:b w:val="0"/>
                <w:bCs/>
                <w:sz w:val="22"/>
                <w:szCs w:val="22"/>
                <w:lang w:val="ru-RU"/>
              </w:rPr>
              <w:t>269934,8</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leftChars="0" w:firstLine="11" w:firstLineChars="0"/>
              <w:jc w:val="center"/>
              <w:rPr>
                <w:rFonts w:hint="default" w:ascii="Times New Roman" w:hAnsi="Times New Roman" w:cs="Times New Roman"/>
                <w:sz w:val="22"/>
                <w:szCs w:val="22"/>
              </w:rPr>
            </w:pPr>
            <w:r>
              <w:rPr>
                <w:rFonts w:hint="default" w:cs="Times New Roman"/>
                <w:b w:val="0"/>
                <w:bCs/>
                <w:sz w:val="22"/>
                <w:szCs w:val="22"/>
                <w:lang w:val="ru-RU"/>
              </w:rPr>
              <w:t>267235,5</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r>
              <w:rPr>
                <w:rFonts w:hint="default" w:cs="Times New Roman"/>
                <w:b w:val="0"/>
                <w:bCs/>
                <w:sz w:val="22"/>
                <w:szCs w:val="22"/>
                <w:lang w:val="ru-RU"/>
              </w:rPr>
              <w:t>2699,3</w:t>
            </w: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2024</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rPr>
          <w:gridAfter w:val="3"/>
          <w:wAfter w:w="2808" w:type="dxa"/>
        </w:trPr>
        <w:tc>
          <w:tcPr>
            <w:tcW w:w="6521" w:type="dxa"/>
            <w:gridSpan w:val="3"/>
            <w:vMerge w:val="continue"/>
            <w:tcBorders>
              <w:left w:val="single" w:color="000000" w:sz="0" w:space="0"/>
              <w:bottom w:val="single" w:color="000000" w:sz="8" w:space="0"/>
              <w:right w:val="single" w:color="auto" w:sz="4" w:space="0"/>
            </w:tcBorders>
            <w:shd w:val="clear" w:color="auto" w:fill="auto"/>
          </w:tcPr>
          <w:p>
            <w:pPr>
              <w:snapToGrid w:val="0"/>
              <w:rPr>
                <w:rFonts w:hint="default" w:ascii="Times New Roman" w:hAnsi="Times New Roman" w:cs="Times New Roman"/>
                <w:sz w:val="22"/>
                <w:szCs w:val="22"/>
              </w:rPr>
            </w:pPr>
          </w:p>
        </w:tc>
        <w:tc>
          <w:tcPr>
            <w:tcW w:w="75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2025</w:t>
            </w:r>
          </w:p>
        </w:tc>
        <w:tc>
          <w:tcPr>
            <w:tcW w:w="1368"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top"/>
          </w:tcPr>
          <w:p>
            <w:pPr>
              <w:ind w:left="-162" w:firstLine="11"/>
              <w:jc w:val="center"/>
              <w:rPr>
                <w:rFonts w:hint="default" w:ascii="Times New Roman" w:hAnsi="Times New Roman" w:cs="Times New Roman"/>
                <w:sz w:val="22"/>
                <w:szCs w:val="22"/>
              </w:rPr>
            </w:pP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051"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460"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top"/>
          </w:tcPr>
          <w:p>
            <w:pPr>
              <w:snapToGrid w:val="0"/>
              <w:jc w:val="center"/>
              <w:rPr>
                <w:rFonts w:hint="default" w:ascii="Times New Roman" w:hAnsi="Times New Roman" w:cs="Times New Roman"/>
                <w:sz w:val="22"/>
                <w:szCs w:val="22"/>
              </w:rPr>
            </w:pPr>
          </w:p>
        </w:tc>
      </w:tr>
    </w:tbl>
    <w:p>
      <w:pPr>
        <w:jc w:val="both"/>
        <w:rPr>
          <w:sz w:val="28"/>
          <w:szCs w:val="28"/>
        </w:rPr>
        <w:sectPr>
          <w:endnotePr>
            <w:numFmt w:val="decimal"/>
          </w:endnotePr>
          <w:pgSz w:w="16840" w:h="11907" w:orient="landscape"/>
          <w:pgMar w:top="353" w:right="1134" w:bottom="851" w:left="1134" w:header="720" w:footer="720" w:gutter="0"/>
          <w:pgNumType w:start="1"/>
          <w:cols w:space="720" w:num="1"/>
          <w:titlePg/>
          <w:docGrid w:linePitch="272" w:charSpace="0"/>
        </w:sectPr>
      </w:pPr>
    </w:p>
    <w:p>
      <w:pPr>
        <w:jc w:val="right"/>
      </w:pPr>
    </w:p>
    <w:p>
      <w:pPr>
        <w:jc w:val="right"/>
        <w:rPr>
          <w:sz w:val="22"/>
          <w:szCs w:val="22"/>
        </w:rPr>
      </w:pPr>
    </w:p>
    <w:p>
      <w:pPr>
        <w:jc w:val="right"/>
        <w:rPr>
          <w:sz w:val="22"/>
          <w:szCs w:val="22"/>
        </w:rPr>
      </w:pPr>
      <w:r>
        <w:rPr>
          <w:sz w:val="22"/>
          <w:szCs w:val="22"/>
        </w:rPr>
        <w:t>Приложение № 5</w:t>
      </w:r>
    </w:p>
    <w:p>
      <w:pPr>
        <w:jc w:val="right"/>
        <w:rPr>
          <w:sz w:val="22"/>
          <w:szCs w:val="22"/>
        </w:rPr>
      </w:pPr>
      <w:bookmarkStart w:id="1" w:name="Par819"/>
      <w:bookmarkEnd w:id="1"/>
      <w:r>
        <w:rPr>
          <w:sz w:val="22"/>
          <w:szCs w:val="22"/>
        </w:rPr>
        <w:t>к муниципальной  программе</w:t>
      </w:r>
    </w:p>
    <w:p>
      <w:pPr>
        <w:jc w:val="right"/>
        <w:rPr>
          <w:sz w:val="22"/>
          <w:szCs w:val="22"/>
        </w:rPr>
      </w:pPr>
      <w:r>
        <w:rPr>
          <w:sz w:val="22"/>
          <w:szCs w:val="22"/>
        </w:rPr>
        <w:t xml:space="preserve"> «Развитие социальной, инженерной инфраструктуры</w:t>
      </w:r>
    </w:p>
    <w:p>
      <w:pPr>
        <w:jc w:val="right"/>
        <w:rPr>
          <w:sz w:val="22"/>
          <w:szCs w:val="22"/>
        </w:rPr>
      </w:pPr>
      <w:r>
        <w:rPr>
          <w:sz w:val="22"/>
          <w:szCs w:val="22"/>
        </w:rPr>
        <w:t xml:space="preserve"> и строительство жилья на территории </w:t>
      </w:r>
    </w:p>
    <w:p>
      <w:pPr>
        <w:jc w:val="right"/>
        <w:rPr>
          <w:sz w:val="22"/>
          <w:szCs w:val="22"/>
        </w:rPr>
      </w:pPr>
      <w:r>
        <w:rPr>
          <w:sz w:val="22"/>
          <w:szCs w:val="22"/>
        </w:rPr>
        <w:t xml:space="preserve"> Кривошеевского сельсовета</w:t>
      </w:r>
    </w:p>
    <w:p>
      <w:pPr>
        <w:jc w:val="right"/>
        <w:rPr>
          <w:sz w:val="22"/>
          <w:szCs w:val="22"/>
        </w:rPr>
      </w:pPr>
      <w:r>
        <w:rPr>
          <w:sz w:val="22"/>
          <w:szCs w:val="22"/>
        </w:rPr>
        <w:t xml:space="preserve"> Нижнеломовского района на период 2020-2025 годы»</w:t>
      </w:r>
    </w:p>
    <w:p>
      <w:pPr>
        <w:jc w:val="center"/>
      </w:pPr>
    </w:p>
    <w:p>
      <w:pPr>
        <w:jc w:val="center"/>
        <w:rPr>
          <w:b/>
        </w:rPr>
      </w:pPr>
      <w:r>
        <w:rPr>
          <w:b/>
        </w:rPr>
        <w:t>ПЛАН</w:t>
      </w:r>
    </w:p>
    <w:p>
      <w:pPr>
        <w:jc w:val="center"/>
      </w:pPr>
      <w:r>
        <w:rPr>
          <w:b/>
          <w:sz w:val="22"/>
          <w:szCs w:val="22"/>
        </w:rPr>
        <w:t>реализации муниципальной</w:t>
      </w:r>
      <w:r>
        <w:rPr>
          <w:sz w:val="22"/>
          <w:szCs w:val="22"/>
        </w:rPr>
        <w:t xml:space="preserve">  </w:t>
      </w:r>
      <w:r>
        <w:rPr>
          <w:b/>
          <w:bCs/>
          <w:sz w:val="22"/>
          <w:szCs w:val="22"/>
        </w:rPr>
        <w:t xml:space="preserve">программы Кривошеевского сельсовета Нижнеломовского района </w:t>
      </w:r>
      <w:r>
        <w:rPr>
          <w:b/>
          <w:sz w:val="22"/>
          <w:szCs w:val="22"/>
        </w:rPr>
        <w:t>«Развитие социальной, инженерной инфраструктуры и строительство</w:t>
      </w:r>
      <w:r>
        <w:rPr>
          <w:b/>
        </w:rPr>
        <w:t xml:space="preserve"> жилья на территории  Кривошеевского сельсовета Нижнеломовского на период 2020-2025 годы»</w:t>
      </w:r>
      <w:r>
        <w:rPr>
          <w:b/>
          <w:bCs/>
        </w:rPr>
        <w:t xml:space="preserve"> </w:t>
      </w:r>
    </w:p>
    <w:tbl>
      <w:tblPr>
        <w:tblStyle w:val="30"/>
        <w:tblW w:w="15796" w:type="dxa"/>
        <w:tblInd w:w="-492" w:type="dxa"/>
        <w:tblLayout w:type="fixed"/>
        <w:tblCellMar>
          <w:top w:w="0" w:type="dxa"/>
          <w:left w:w="75" w:type="dxa"/>
          <w:bottom w:w="0" w:type="dxa"/>
          <w:right w:w="75" w:type="dxa"/>
        </w:tblCellMar>
      </w:tblPr>
      <w:tblGrid>
        <w:gridCol w:w="585"/>
        <w:gridCol w:w="4561"/>
        <w:gridCol w:w="1695"/>
        <w:gridCol w:w="1239"/>
        <w:gridCol w:w="1674"/>
        <w:gridCol w:w="1204"/>
        <w:gridCol w:w="1200"/>
        <w:gridCol w:w="755"/>
        <w:gridCol w:w="412"/>
        <w:gridCol w:w="524"/>
        <w:gridCol w:w="468"/>
        <w:gridCol w:w="459"/>
        <w:gridCol w:w="1020"/>
      </w:tblGrid>
      <w:tr>
        <w:tblPrEx>
          <w:tblLayout w:type="fixed"/>
          <w:tblCellMar>
            <w:top w:w="0" w:type="dxa"/>
            <w:left w:w="75" w:type="dxa"/>
            <w:bottom w:w="0" w:type="dxa"/>
            <w:right w:w="75" w:type="dxa"/>
          </w:tblCellMar>
        </w:tblPrEx>
        <w:tc>
          <w:tcPr>
            <w:tcW w:w="5146" w:type="dxa"/>
            <w:gridSpan w:val="2"/>
            <w:tcBorders>
              <w:top w:val="single" w:color="000000" w:sz="0"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0650" w:type="dxa"/>
            <w:gridSpan w:val="11"/>
            <w:tcBorders>
              <w:top w:val="single" w:color="000000" w:sz="0"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Ответственный исполнитель муниципальной  программы                </w:t>
            </w:r>
          </w:p>
        </w:tc>
      </w:tr>
      <w:tr>
        <w:tblPrEx>
          <w:tblLayout w:type="fixed"/>
          <w:tblCellMar>
            <w:top w:w="0" w:type="dxa"/>
            <w:left w:w="75" w:type="dxa"/>
            <w:bottom w:w="0" w:type="dxa"/>
            <w:right w:w="75" w:type="dxa"/>
          </w:tblCellMar>
        </w:tblPrEx>
        <w:tc>
          <w:tcPr>
            <w:tcW w:w="5146" w:type="dxa"/>
            <w:gridSpan w:val="2"/>
            <w:tcBorders>
              <w:top w:val="single" w:color="000000" w:sz="8" w:space="0"/>
              <w:left w:val="single" w:color="000000" w:sz="0" w:space="0"/>
              <w:bottom w:val="single" w:color="000000" w:sz="8" w:space="0"/>
            </w:tcBorders>
            <w:shd w:val="clear" w:color="auto" w:fill="auto"/>
          </w:tcPr>
          <w:p>
            <w:pPr>
              <w:snapToGrid w:val="0"/>
              <w:rPr>
                <w:rFonts w:hint="default" w:ascii="Times New Roman" w:hAnsi="Times New Roman" w:cs="Times New Roman"/>
                <w:sz w:val="22"/>
                <w:szCs w:val="22"/>
              </w:rPr>
            </w:pPr>
          </w:p>
        </w:tc>
        <w:tc>
          <w:tcPr>
            <w:tcW w:w="10650" w:type="dxa"/>
            <w:gridSpan w:val="11"/>
            <w:tcBorders>
              <w:top w:val="single" w:color="000000" w:sz="8" w:space="0"/>
              <w:left w:val="single" w:color="000000" w:sz="0" w:space="0"/>
              <w:bottom w:val="single" w:color="000000" w:sz="8" w:space="0"/>
              <w:right w:val="single" w:color="000000" w:sz="0"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Администрация Кривошеевского сельсовета Нижнеломовского района Пензенской области</w:t>
            </w: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N </w:t>
            </w:r>
            <w:r>
              <w:rPr>
                <w:rFonts w:hint="default" w:ascii="Times New Roman" w:hAnsi="Times New Roman" w:cs="Times New Roman"/>
                <w:sz w:val="22"/>
                <w:szCs w:val="22"/>
              </w:rPr>
              <w:t>п/п</w:t>
            </w:r>
          </w:p>
        </w:tc>
        <w:tc>
          <w:tcPr>
            <w:tcW w:w="4561"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Наименование  </w:t>
            </w:r>
          </w:p>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подпрограммы, </w:t>
            </w:r>
          </w:p>
          <w:p>
            <w:pPr>
              <w:rPr>
                <w:rFonts w:hint="default" w:ascii="Times New Roman" w:hAnsi="Times New Roman" w:cs="Times New Roman"/>
                <w:sz w:val="22"/>
                <w:szCs w:val="22"/>
              </w:rPr>
            </w:pPr>
            <w:r>
              <w:rPr>
                <w:rFonts w:hint="default" w:ascii="Times New Roman" w:hAnsi="Times New Roman" w:eastAsia="Courier New" w:cs="Times New Roman"/>
                <w:sz w:val="22"/>
                <w:szCs w:val="22"/>
              </w:rPr>
              <w:t xml:space="preserve">мероприятий  </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Ответственный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исполнитель  (ФИО,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должность)   </w:t>
            </w:r>
          </w:p>
        </w:tc>
        <w:tc>
          <w:tcPr>
            <w:tcW w:w="1239"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Срок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начала  </w:t>
            </w:r>
          </w:p>
          <w:p>
            <w:pPr>
              <w:rPr>
                <w:rFonts w:hint="default" w:ascii="Times New Roman" w:hAnsi="Times New Roman" w:cs="Times New Roman"/>
                <w:sz w:val="22"/>
                <w:szCs w:val="22"/>
              </w:rPr>
            </w:pPr>
            <w:r>
              <w:rPr>
                <w:rFonts w:hint="default" w:ascii="Times New Roman" w:hAnsi="Times New Roman" w:cs="Times New Roman"/>
                <w:sz w:val="22"/>
                <w:szCs w:val="22"/>
              </w:rPr>
              <w:t>реализации</w:t>
            </w:r>
          </w:p>
        </w:tc>
        <w:tc>
          <w:tcPr>
            <w:tcW w:w="1674"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Срок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окончания </w:t>
            </w:r>
          </w:p>
          <w:p>
            <w:pPr>
              <w:rPr>
                <w:rFonts w:hint="default" w:ascii="Times New Roman" w:hAnsi="Times New Roman" w:cs="Times New Roman"/>
                <w:sz w:val="22"/>
                <w:szCs w:val="22"/>
              </w:rPr>
            </w:pPr>
            <w:r>
              <w:rPr>
                <w:rFonts w:hint="default" w:ascii="Times New Roman" w:hAnsi="Times New Roman" w:cs="Times New Roman"/>
                <w:sz w:val="22"/>
                <w:szCs w:val="22"/>
              </w:rPr>
              <w:t>реализации</w:t>
            </w:r>
          </w:p>
        </w:tc>
        <w:tc>
          <w:tcPr>
            <w:tcW w:w="1204"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Ожидаемый</w:t>
            </w:r>
          </w:p>
          <w:p>
            <w:pPr>
              <w:rPr>
                <w:rFonts w:hint="default" w:ascii="Times New Roman" w:hAnsi="Times New Roman" w:cs="Times New Roman"/>
                <w:sz w:val="22"/>
                <w:szCs w:val="22"/>
              </w:rPr>
            </w:pPr>
            <w:r>
              <w:rPr>
                <w:rFonts w:hint="default" w:ascii="Times New Roman" w:hAnsi="Times New Roman" w:cs="Times New Roman"/>
                <w:sz w:val="22"/>
                <w:szCs w:val="22"/>
              </w:rPr>
              <w:t>результат</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Источник</w:t>
            </w:r>
          </w:p>
          <w:p>
            <w:pPr>
              <w:rPr>
                <w:rFonts w:hint="default" w:ascii="Times New Roman" w:hAnsi="Times New Roman" w:cs="Times New Roman"/>
                <w:sz w:val="22"/>
                <w:szCs w:val="22"/>
              </w:rPr>
            </w:pPr>
            <w:r>
              <w:rPr>
                <w:rFonts w:hint="default" w:ascii="Times New Roman" w:hAnsi="Times New Roman" w:cs="Times New Roman"/>
                <w:sz w:val="22"/>
                <w:szCs w:val="22"/>
              </w:rPr>
              <w:t>финанси-</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рования </w:t>
            </w:r>
          </w:p>
        </w:tc>
        <w:tc>
          <w:tcPr>
            <w:tcW w:w="2618" w:type="dxa"/>
            <w:gridSpan w:val="5"/>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Код бюджетной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классификации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(бюджет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Пензенской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области)    </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Финанси-</w:t>
            </w:r>
          </w:p>
          <w:p>
            <w:pPr>
              <w:rPr>
                <w:rFonts w:hint="default" w:ascii="Times New Roman" w:hAnsi="Times New Roman" w:cs="Times New Roman"/>
                <w:sz w:val="22"/>
                <w:szCs w:val="22"/>
              </w:rPr>
            </w:pPr>
            <w:r>
              <w:rPr>
                <w:rFonts w:hint="default" w:ascii="Times New Roman" w:hAnsi="Times New Roman" w:cs="Times New Roman"/>
                <w:sz w:val="22"/>
                <w:szCs w:val="22"/>
              </w:rPr>
              <w:t>рование,</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тыс.  руб.  </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рублей  </w:t>
            </w: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right w:val="single" w:color="auto" w:sz="4" w:space="0"/>
            </w:tcBorders>
            <w:shd w:val="clear" w:color="auto" w:fill="auto"/>
          </w:tcPr>
          <w:p>
            <w:pPr>
              <w:snapToGrid w:val="0"/>
              <w:rPr>
                <w:rFonts w:hint="default" w:ascii="Times New Roman" w:hAnsi="Times New Roman" w:cs="Times New Roman"/>
                <w:sz w:val="22"/>
                <w:szCs w:val="22"/>
              </w:rPr>
            </w:pPr>
          </w:p>
        </w:tc>
        <w:tc>
          <w:tcPr>
            <w:tcW w:w="4561"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69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67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5"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ГРБС</w:t>
            </w:r>
          </w:p>
        </w:tc>
        <w:tc>
          <w:tcPr>
            <w:tcW w:w="412"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Рз</w:t>
            </w:r>
          </w:p>
        </w:tc>
        <w:tc>
          <w:tcPr>
            <w:tcW w:w="524"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Пр</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ЦС</w:t>
            </w:r>
          </w:p>
        </w:tc>
        <w:tc>
          <w:tcPr>
            <w:tcW w:w="459"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ВР</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 xml:space="preserve"> </w:t>
            </w: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1  </w:t>
            </w:r>
          </w:p>
        </w:tc>
        <w:tc>
          <w:tcPr>
            <w:tcW w:w="4561"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Подпрограмма 1 Создание условий для обеспечения доступным и комфортным жильем сельского населения</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67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4"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X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5"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 </w:t>
            </w:r>
            <w:r>
              <w:rPr>
                <w:rFonts w:hint="default" w:ascii="Times New Roman" w:hAnsi="Times New Roman" w:eastAsia="Courier New" w:cs="Times New Roman"/>
                <w:sz w:val="22"/>
                <w:szCs w:val="22"/>
              </w:rPr>
              <w:t xml:space="preserve">X  </w:t>
            </w:r>
          </w:p>
        </w:tc>
        <w:tc>
          <w:tcPr>
            <w:tcW w:w="412"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X </w:t>
            </w:r>
          </w:p>
        </w:tc>
        <w:tc>
          <w:tcPr>
            <w:tcW w:w="524"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X </w:t>
            </w:r>
          </w:p>
        </w:tc>
        <w:tc>
          <w:tcPr>
            <w:tcW w:w="468"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X </w:t>
            </w:r>
          </w:p>
        </w:tc>
        <w:tc>
          <w:tcPr>
            <w:tcW w:w="459"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 xml:space="preserve">X </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1.1.</w:t>
            </w:r>
          </w:p>
        </w:tc>
        <w:tc>
          <w:tcPr>
            <w:tcW w:w="4561" w:type="dxa"/>
            <w:tcBorders>
              <w:top w:val="single" w:color="auto" w:sz="4" w:space="0"/>
              <w:left w:val="single" w:color="auto" w:sz="4" w:space="0"/>
              <w:bottom w:val="single" w:color="auto" w:sz="4" w:space="0"/>
              <w:right w:val="single" w:color="auto" w:sz="4" w:space="0"/>
            </w:tcBorders>
            <w:shd w:val="clear" w:color="auto" w:fill="auto"/>
          </w:tcPr>
          <w:p>
            <w:pPr>
              <w:pStyle w:val="80"/>
              <w:tabs>
                <w:tab w:val="left" w:pos="900"/>
                <w:tab w:val="left" w:pos="1080"/>
              </w:tabs>
              <w:spacing w:after="0" w:line="200" w:lineRule="atLeast"/>
              <w:ind w:left="91"/>
              <w:contextualSpacing/>
              <w:rPr>
                <w:rFonts w:hint="default" w:ascii="Times New Roman" w:hAnsi="Times New Roman" w:cs="Times New Roman"/>
                <w:sz w:val="22"/>
                <w:szCs w:val="22"/>
              </w:rPr>
            </w:pPr>
            <w:r>
              <w:rPr>
                <w:rFonts w:hint="default" w:ascii="Times New Roman" w:hAnsi="Times New Roman" w:cs="Times New Roman"/>
                <w:sz w:val="22"/>
                <w:szCs w:val="22"/>
              </w:rPr>
              <w:t>Удовлетворение потребностей сельского населения в благоустроенном жилье</w:t>
            </w:r>
          </w:p>
          <w:p>
            <w:pPr>
              <w:snapToGrid w:val="0"/>
              <w:rPr>
                <w:rFonts w:hint="default" w:ascii="Times New Roman" w:hAnsi="Times New Roman" w:cs="Times New Roman"/>
                <w:sz w:val="22"/>
                <w:szCs w:val="22"/>
              </w:rPr>
            </w:pPr>
          </w:p>
        </w:tc>
        <w:tc>
          <w:tcPr>
            <w:tcW w:w="169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01.01.2020</w:t>
            </w:r>
          </w:p>
        </w:tc>
        <w:tc>
          <w:tcPr>
            <w:tcW w:w="167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31.12.2020</w:t>
            </w:r>
          </w:p>
        </w:tc>
        <w:tc>
          <w:tcPr>
            <w:tcW w:w="120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Федеральный бюджет, бюджет пензенской области, местный бюджет и внебюджетные источники</w:t>
            </w:r>
          </w:p>
        </w:tc>
        <w:tc>
          <w:tcPr>
            <w:tcW w:w="75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12"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52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68"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5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 xml:space="preserve"> </w:t>
            </w:r>
          </w:p>
        </w:tc>
        <w:tc>
          <w:tcPr>
            <w:tcW w:w="102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lang w:val="ru-RU"/>
              </w:rPr>
            </w:pPr>
            <w:r>
              <w:rPr>
                <w:rFonts w:hint="default" w:ascii="Times New Roman" w:hAnsi="Times New Roman" w:cs="Times New Roman"/>
                <w:sz w:val="22"/>
                <w:szCs w:val="22"/>
                <w:lang w:val="ru-RU"/>
              </w:rPr>
              <w:t>387587,9</w:t>
            </w: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1.2..</w:t>
            </w:r>
          </w:p>
        </w:tc>
        <w:tc>
          <w:tcPr>
            <w:tcW w:w="4561" w:type="dxa"/>
            <w:tcBorders>
              <w:top w:val="single" w:color="auto" w:sz="4" w:space="0"/>
              <w:left w:val="single" w:color="auto" w:sz="4" w:space="0"/>
              <w:bottom w:val="single" w:color="auto" w:sz="4" w:space="0"/>
              <w:right w:val="single" w:color="auto" w:sz="4" w:space="0"/>
            </w:tcBorders>
            <w:shd w:val="clear" w:color="auto" w:fill="auto"/>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default" w:ascii="Times New Roman" w:hAnsi="Times New Roman" w:cs="Times New Roman"/>
                <w:sz w:val="22"/>
                <w:szCs w:val="22"/>
              </w:rPr>
            </w:pPr>
            <w:r>
              <w:rPr>
                <w:rFonts w:hint="default" w:ascii="Times New Roman" w:hAnsi="Times New Roman" w:cs="Times New Roman"/>
                <w:sz w:val="22"/>
                <w:szCs w:val="22"/>
              </w:rPr>
              <w:t xml:space="preserve">повышение уровня комплексного обустройства населенных пунктов, расположенных в сельской местности, </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67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12"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52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68"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5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02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r>
      <w:tr>
        <w:tblPrEx>
          <w:tblLayout w:type="fixed"/>
          <w:tblCellMar>
            <w:top w:w="0" w:type="dxa"/>
            <w:left w:w="75" w:type="dxa"/>
            <w:bottom w:w="0" w:type="dxa"/>
            <w:right w:w="75" w:type="dxa"/>
          </w:tblCellMar>
        </w:tblPrEx>
        <w:tc>
          <w:tcPr>
            <w:tcW w:w="585" w:type="dxa"/>
            <w:tcBorders>
              <w:top w:val="single" w:color="000000" w:sz="8" w:space="0"/>
              <w:left w:val="single" w:color="000000" w:sz="0" w:space="0"/>
              <w:bottom w:val="single" w:color="000000" w:sz="8" w:space="0"/>
              <w:right w:val="single" w:color="auto" w:sz="4" w:space="0"/>
            </w:tcBorders>
            <w:shd w:val="clear" w:color="auto" w:fill="auto"/>
          </w:tcPr>
          <w:p>
            <w:pPr>
              <w:rPr>
                <w:rFonts w:hint="default" w:ascii="Times New Roman" w:hAnsi="Times New Roman" w:cs="Times New Roman"/>
                <w:sz w:val="22"/>
                <w:szCs w:val="22"/>
              </w:rPr>
            </w:pPr>
            <w:r>
              <w:rPr>
                <w:rFonts w:hint="default" w:ascii="Times New Roman" w:hAnsi="Times New Roman" w:cs="Times New Roman"/>
                <w:sz w:val="22"/>
                <w:szCs w:val="22"/>
              </w:rPr>
              <w:t>1.3.</w:t>
            </w:r>
          </w:p>
        </w:tc>
        <w:tc>
          <w:tcPr>
            <w:tcW w:w="4561"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r>
              <w:rPr>
                <w:rFonts w:hint="default" w:ascii="Times New Roman" w:hAnsi="Times New Roman" w:cs="Times New Roman"/>
                <w:sz w:val="22"/>
                <w:szCs w:val="22"/>
              </w:rPr>
              <w:t>Обеспечение объектами инженерной инфраструктуры и автомобильными дорогами общего пользования с твердым покрытием и социальной инфраструктурой</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3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67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20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755"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12"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524"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68"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459"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c>
          <w:tcPr>
            <w:tcW w:w="1020" w:type="dxa"/>
            <w:tcBorders>
              <w:top w:val="single" w:color="auto" w:sz="4" w:space="0"/>
              <w:left w:val="single" w:color="auto" w:sz="4" w:space="0"/>
              <w:bottom w:val="single" w:color="auto" w:sz="4" w:space="0"/>
              <w:right w:val="single" w:color="auto" w:sz="4" w:space="0"/>
            </w:tcBorders>
            <w:shd w:val="clear" w:color="auto" w:fill="auto"/>
          </w:tcPr>
          <w:p>
            <w:pPr>
              <w:snapToGrid w:val="0"/>
              <w:rPr>
                <w:rFonts w:hint="default" w:ascii="Times New Roman" w:hAnsi="Times New Roman" w:cs="Times New Roman"/>
                <w:sz w:val="22"/>
                <w:szCs w:val="22"/>
              </w:rPr>
            </w:pPr>
          </w:p>
        </w:tc>
      </w:tr>
    </w:tbl>
    <w:p>
      <w:pPr>
        <w:autoSpaceDE w:val="0"/>
        <w:autoSpaceDN w:val="0"/>
        <w:adjustRightInd w:val="0"/>
        <w:ind w:firstLine="709"/>
        <w:jc w:val="both"/>
        <w:outlineLvl w:val="1"/>
        <w:rPr>
          <w:rFonts w:eastAsia="Calibri"/>
          <w:sz w:val="28"/>
          <w:szCs w:val="28"/>
          <w:lang w:eastAsia="en-US"/>
        </w:rPr>
      </w:pPr>
    </w:p>
    <w:p>
      <w:pPr>
        <w:jc w:val="both"/>
        <w:rPr>
          <w:sz w:val="22"/>
          <w:szCs w:val="22"/>
        </w:rPr>
      </w:pPr>
    </w:p>
    <w:p>
      <w:pPr>
        <w:jc w:val="right"/>
        <w:rPr>
          <w:sz w:val="22"/>
          <w:szCs w:val="22"/>
        </w:rPr>
      </w:pPr>
      <w:r>
        <w:rPr>
          <w:sz w:val="22"/>
          <w:szCs w:val="22"/>
        </w:rPr>
        <w:t>Приложение № 6</w:t>
      </w:r>
    </w:p>
    <w:p>
      <w:pPr>
        <w:jc w:val="right"/>
        <w:rPr>
          <w:sz w:val="22"/>
          <w:szCs w:val="22"/>
        </w:rPr>
      </w:pPr>
      <w:r>
        <w:rPr>
          <w:sz w:val="22"/>
          <w:szCs w:val="22"/>
        </w:rPr>
        <w:t xml:space="preserve">к муниципальной  программе </w:t>
      </w:r>
    </w:p>
    <w:p>
      <w:pPr>
        <w:jc w:val="right"/>
        <w:rPr>
          <w:sz w:val="22"/>
          <w:szCs w:val="22"/>
        </w:rPr>
      </w:pPr>
      <w:r>
        <w:rPr>
          <w:sz w:val="22"/>
          <w:szCs w:val="22"/>
        </w:rPr>
        <w:t>«Развитие социальной, инженерной инфраструктуры</w:t>
      </w:r>
    </w:p>
    <w:p>
      <w:pPr>
        <w:jc w:val="right"/>
        <w:rPr>
          <w:sz w:val="22"/>
          <w:szCs w:val="22"/>
        </w:rPr>
      </w:pPr>
      <w:r>
        <w:rPr>
          <w:sz w:val="22"/>
          <w:szCs w:val="22"/>
        </w:rPr>
        <w:t xml:space="preserve"> и строительство жилья на территории  </w:t>
      </w:r>
    </w:p>
    <w:p>
      <w:pPr>
        <w:jc w:val="right"/>
        <w:rPr>
          <w:sz w:val="22"/>
          <w:szCs w:val="22"/>
        </w:rPr>
      </w:pPr>
      <w:r>
        <w:rPr>
          <w:sz w:val="22"/>
          <w:szCs w:val="22"/>
        </w:rPr>
        <w:t>Кривошеевского сельсовета</w:t>
      </w:r>
    </w:p>
    <w:p>
      <w:pPr>
        <w:jc w:val="right"/>
        <w:rPr>
          <w:sz w:val="22"/>
          <w:szCs w:val="22"/>
        </w:rPr>
      </w:pPr>
      <w:r>
        <w:rPr>
          <w:sz w:val="22"/>
          <w:szCs w:val="22"/>
        </w:rPr>
        <w:t xml:space="preserve"> Нижнеломовского района на период 2020-2025 годы»</w:t>
      </w:r>
    </w:p>
    <w:p>
      <w:pPr>
        <w:jc w:val="center"/>
      </w:pPr>
    </w:p>
    <w:p>
      <w:pPr>
        <w:jc w:val="center"/>
        <w:rPr>
          <w:b/>
          <w:sz w:val="22"/>
          <w:szCs w:val="22"/>
        </w:rPr>
      </w:pPr>
      <w:r>
        <w:rPr>
          <w:b/>
          <w:sz w:val="22"/>
          <w:szCs w:val="22"/>
        </w:rPr>
        <w:t xml:space="preserve">Р А С Ч Е Т  </w:t>
      </w:r>
    </w:p>
    <w:p>
      <w:pPr>
        <w:jc w:val="center"/>
      </w:pPr>
      <w:r>
        <w:rPr>
          <w:b/>
          <w:sz w:val="22"/>
          <w:szCs w:val="22"/>
        </w:rPr>
        <w:t>планируемой оценки эффективности  муниципальной</w:t>
      </w:r>
      <w:r>
        <w:rPr>
          <w:sz w:val="22"/>
          <w:szCs w:val="22"/>
        </w:rPr>
        <w:t xml:space="preserve"> </w:t>
      </w:r>
      <w:r>
        <w:rPr>
          <w:b/>
          <w:bCs/>
          <w:sz w:val="22"/>
          <w:szCs w:val="22"/>
        </w:rPr>
        <w:t xml:space="preserve">программы Кривошеевского сельсовета Нижнеломовского района </w:t>
      </w:r>
      <w:r>
        <w:rPr>
          <w:b/>
          <w:sz w:val="22"/>
          <w:szCs w:val="22"/>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sz w:val="22"/>
          <w:szCs w:val="22"/>
        </w:rPr>
        <w:t xml:space="preserve"> </w:t>
      </w:r>
    </w:p>
    <w:tbl>
      <w:tblPr>
        <w:tblStyle w:val="30"/>
        <w:tblpPr w:leftFromText="180" w:rightFromText="180" w:vertAnchor="text" w:horzAnchor="page" w:tblpX="1027" w:tblpY="258"/>
        <w:tblOverlap w:val="never"/>
        <w:tblW w:w="15006" w:type="dxa"/>
        <w:tblInd w:w="0" w:type="dxa"/>
        <w:tblLayout w:type="fixed"/>
        <w:tblCellMar>
          <w:top w:w="0" w:type="dxa"/>
          <w:left w:w="108" w:type="dxa"/>
          <w:bottom w:w="0" w:type="dxa"/>
          <w:right w:w="108" w:type="dxa"/>
        </w:tblCellMar>
      </w:tblPr>
      <w:tblGrid>
        <w:gridCol w:w="2187"/>
        <w:gridCol w:w="709"/>
        <w:gridCol w:w="914"/>
        <w:gridCol w:w="875"/>
        <w:gridCol w:w="1433"/>
        <w:gridCol w:w="1658"/>
        <w:gridCol w:w="1476"/>
        <w:gridCol w:w="1487"/>
        <w:gridCol w:w="1319"/>
        <w:gridCol w:w="1295"/>
        <w:gridCol w:w="1653"/>
      </w:tblGrid>
      <w:tr>
        <w:tblPrEx>
          <w:tblLayout w:type="fixed"/>
          <w:tblCellMar>
            <w:top w:w="0" w:type="dxa"/>
            <w:left w:w="108" w:type="dxa"/>
            <w:bottom w:w="0" w:type="dxa"/>
            <w:right w:w="108" w:type="dxa"/>
          </w:tblCellMar>
        </w:tblPrEx>
        <w:trPr>
          <w:trHeight w:val="2204" w:hRule="exact"/>
          <w:tblHeader/>
        </w:trPr>
        <w:tc>
          <w:tcPr>
            <w:tcW w:w="2187" w:type="dxa"/>
            <w:tcBorders>
              <w:top w:val="single" w:color="000000" w:sz="4" w:space="0"/>
              <w:left w:val="single" w:color="000000" w:sz="4" w:space="0"/>
              <w:bottom w:val="single" w:color="000000" w:sz="4" w:space="0"/>
            </w:tcBorders>
            <w:shd w:val="clear" w:color="auto" w:fill="auto"/>
          </w:tcPr>
          <w:p>
            <w:pPr>
              <w:snapToGrid w:val="0"/>
              <w:jc w:val="center"/>
              <w:rPr>
                <w:spacing w:val="-20"/>
                <w:sz w:val="22"/>
                <w:szCs w:val="22"/>
              </w:rPr>
            </w:pPr>
          </w:p>
          <w:p>
            <w:pPr>
              <w:rPr>
                <w:spacing w:val="-20"/>
                <w:sz w:val="22"/>
                <w:szCs w:val="22"/>
              </w:rPr>
            </w:pPr>
            <w:r>
              <w:rPr>
                <w:spacing w:val="-20"/>
                <w:sz w:val="22"/>
                <w:szCs w:val="22"/>
              </w:rPr>
              <w:t>Наименование целевого показателя</w:t>
            </w:r>
          </w:p>
        </w:tc>
        <w:tc>
          <w:tcPr>
            <w:tcW w:w="709"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Ед.</w:t>
            </w:r>
          </w:p>
          <w:p>
            <w:pPr>
              <w:rPr>
                <w:spacing w:val="-20"/>
                <w:sz w:val="22"/>
                <w:szCs w:val="22"/>
              </w:rPr>
            </w:pPr>
            <w:r>
              <w:rPr>
                <w:spacing w:val="-20"/>
                <w:sz w:val="22"/>
                <w:szCs w:val="22"/>
              </w:rPr>
              <w:t>изме-</w:t>
            </w:r>
          </w:p>
          <w:p>
            <w:pPr>
              <w:jc w:val="center"/>
              <w:rPr>
                <w:spacing w:val="-20"/>
                <w:sz w:val="22"/>
                <w:szCs w:val="22"/>
              </w:rPr>
            </w:pPr>
            <w:r>
              <w:rPr>
                <w:spacing w:val="-20"/>
                <w:sz w:val="22"/>
                <w:szCs w:val="22"/>
              </w:rPr>
              <w:t>ррения</w:t>
            </w:r>
          </w:p>
        </w:tc>
        <w:tc>
          <w:tcPr>
            <w:tcW w:w="914"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Показа-тель базового года, 2019</w:t>
            </w:r>
          </w:p>
        </w:tc>
        <w:tc>
          <w:tcPr>
            <w:tcW w:w="875"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Плани- руемый</w:t>
            </w:r>
          </w:p>
          <w:p>
            <w:pPr>
              <w:rPr>
                <w:spacing w:val="-20"/>
                <w:sz w:val="22"/>
                <w:szCs w:val="22"/>
              </w:rPr>
            </w:pPr>
            <w:r>
              <w:rPr>
                <w:spacing w:val="-20"/>
                <w:sz w:val="22"/>
                <w:szCs w:val="22"/>
              </w:rPr>
              <w:t>пока-</w:t>
            </w:r>
          </w:p>
          <w:p>
            <w:pPr>
              <w:rPr>
                <w:spacing w:val="-20"/>
                <w:sz w:val="22"/>
                <w:szCs w:val="22"/>
              </w:rPr>
            </w:pPr>
            <w:r>
              <w:rPr>
                <w:spacing w:val="-20"/>
                <w:sz w:val="22"/>
                <w:szCs w:val="22"/>
              </w:rPr>
              <w:t>затель, 2020</w:t>
            </w:r>
          </w:p>
        </w:tc>
        <w:tc>
          <w:tcPr>
            <w:tcW w:w="1433"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Планируемый  результат</w:t>
            </w:r>
          </w:p>
          <w:p>
            <w:pPr>
              <w:ind w:left="-107" w:firstLine="107"/>
              <w:rPr>
                <w:spacing w:val="-20"/>
                <w:sz w:val="22"/>
                <w:szCs w:val="22"/>
              </w:rPr>
            </w:pPr>
            <w:r>
              <w:rPr>
                <w:spacing w:val="-20"/>
                <w:sz w:val="22"/>
                <w:szCs w:val="22"/>
              </w:rPr>
              <w:t>достижения</w:t>
            </w:r>
          </w:p>
          <w:p>
            <w:pPr>
              <w:ind w:left="-107" w:firstLine="107"/>
              <w:jc w:val="center"/>
              <w:rPr>
                <w:spacing w:val="-20"/>
                <w:sz w:val="22"/>
                <w:szCs w:val="22"/>
              </w:rPr>
            </w:pPr>
            <w:r>
              <w:rPr>
                <w:spacing w:val="-20"/>
                <w:sz w:val="22"/>
                <w:szCs w:val="22"/>
              </w:rPr>
              <w:t>t-ого целевого показателя</w:t>
            </w:r>
          </w:p>
          <w:p>
            <w:pPr>
              <w:ind w:left="-107" w:firstLine="107"/>
              <w:rPr>
                <w:spacing w:val="-20"/>
                <w:sz w:val="22"/>
                <w:szCs w:val="22"/>
              </w:rPr>
            </w:pPr>
            <w:r>
              <w:rPr>
                <w:spacing w:val="-20"/>
                <w:sz w:val="22"/>
                <w:szCs w:val="22"/>
              </w:rPr>
              <w:t>j-ой под-программы</w:t>
            </w:r>
          </w:p>
          <w:p>
            <w:pPr>
              <w:ind w:left="-107" w:firstLine="107"/>
              <w:jc w:val="center"/>
              <w:rPr>
                <w:spacing w:val="-20"/>
                <w:sz w:val="22"/>
                <w:szCs w:val="22"/>
              </w:rPr>
            </w:pPr>
          </w:p>
        </w:tc>
        <w:tc>
          <w:tcPr>
            <w:tcW w:w="1658" w:type="dxa"/>
            <w:tcBorders>
              <w:top w:val="single" w:color="000000" w:sz="4" w:space="0"/>
              <w:left w:val="single" w:color="000000" w:sz="4" w:space="0"/>
              <w:bottom w:val="single" w:color="000000" w:sz="4" w:space="0"/>
            </w:tcBorders>
            <w:shd w:val="clear" w:color="auto" w:fill="auto"/>
          </w:tcPr>
          <w:p>
            <w:pPr>
              <w:ind w:left="-141" w:right="-38"/>
              <w:rPr>
                <w:spacing w:val="-20"/>
                <w:sz w:val="22"/>
                <w:szCs w:val="22"/>
              </w:rPr>
            </w:pPr>
            <w:r>
              <w:rPr>
                <w:spacing w:val="-20"/>
                <w:sz w:val="22"/>
                <w:szCs w:val="22"/>
              </w:rPr>
              <w:t>Планируемый показатель результативности подпрограммы</w:t>
            </w:r>
          </w:p>
          <w:p>
            <w:pPr>
              <w:jc w:val="center"/>
              <w:rPr>
                <w:spacing w:val="-20"/>
                <w:sz w:val="22"/>
                <w:szCs w:val="22"/>
              </w:rPr>
            </w:pPr>
          </w:p>
          <w:p>
            <w:pPr>
              <w:jc w:val="center"/>
              <w:rPr>
                <w:spacing w:val="-20"/>
                <w:sz w:val="22"/>
                <w:szCs w:val="22"/>
              </w:rPr>
            </w:pPr>
          </w:p>
        </w:tc>
        <w:tc>
          <w:tcPr>
            <w:tcW w:w="1476"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Планируемый объем средств на реализацию МП</w:t>
            </w:r>
          </w:p>
          <w:p>
            <w:pPr>
              <w:rPr>
                <w:spacing w:val="-20"/>
                <w:sz w:val="22"/>
                <w:szCs w:val="22"/>
              </w:rPr>
            </w:pPr>
            <w:r>
              <w:rPr>
                <w:spacing w:val="-20"/>
                <w:sz w:val="22"/>
                <w:szCs w:val="22"/>
              </w:rPr>
              <w:t>(тыс. руб.)</w:t>
            </w:r>
          </w:p>
          <w:p>
            <w:pPr>
              <w:jc w:val="center"/>
              <w:rPr>
                <w:spacing w:val="-20"/>
                <w:sz w:val="22"/>
                <w:szCs w:val="22"/>
              </w:rPr>
            </w:pPr>
          </w:p>
          <w:p>
            <w:pPr>
              <w:jc w:val="center"/>
              <w:rPr>
                <w:spacing w:val="-20"/>
                <w:sz w:val="22"/>
                <w:szCs w:val="22"/>
              </w:rPr>
            </w:pPr>
          </w:p>
          <w:p>
            <w:pPr>
              <w:jc w:val="center"/>
              <w:rPr>
                <w:spacing w:val="-20"/>
                <w:sz w:val="22"/>
                <w:szCs w:val="22"/>
              </w:rPr>
            </w:pPr>
          </w:p>
        </w:tc>
        <w:tc>
          <w:tcPr>
            <w:tcW w:w="1487" w:type="dxa"/>
            <w:tcBorders>
              <w:top w:val="single" w:color="000000" w:sz="4" w:space="0"/>
              <w:left w:val="single" w:color="000000" w:sz="4" w:space="0"/>
              <w:bottom w:val="single" w:color="000000" w:sz="4" w:space="0"/>
            </w:tcBorders>
            <w:shd w:val="clear" w:color="auto" w:fill="auto"/>
          </w:tcPr>
          <w:p>
            <w:pPr>
              <w:rPr>
                <w:rFonts w:eastAsia="Batang"/>
                <w:spacing w:val="-20"/>
                <w:sz w:val="22"/>
                <w:szCs w:val="22"/>
                <w:lang w:eastAsia="ko-KR"/>
              </w:rPr>
            </w:pPr>
            <w:r>
              <w:rPr>
                <w:rFonts w:eastAsia="Batang"/>
                <w:spacing w:val="-20"/>
                <w:sz w:val="22"/>
                <w:szCs w:val="22"/>
                <w:lang w:eastAsia="ko-KR"/>
              </w:rPr>
              <w:t>Коэффи-</w:t>
            </w:r>
          </w:p>
          <w:p>
            <w:pPr>
              <w:rPr>
                <w:rFonts w:eastAsia="Batang"/>
                <w:spacing w:val="-20"/>
                <w:sz w:val="22"/>
                <w:szCs w:val="22"/>
                <w:lang w:eastAsia="ko-KR"/>
              </w:rPr>
            </w:pPr>
            <w:r>
              <w:rPr>
                <w:rFonts w:eastAsia="Batang"/>
                <w:spacing w:val="-20"/>
                <w:sz w:val="22"/>
                <w:szCs w:val="22"/>
                <w:lang w:eastAsia="ko-KR"/>
              </w:rPr>
              <w:t>циент  влияния</w:t>
            </w:r>
          </w:p>
          <w:p>
            <w:pPr>
              <w:rPr>
                <w:rFonts w:eastAsia="Batang"/>
                <w:spacing w:val="-20"/>
                <w:sz w:val="22"/>
                <w:szCs w:val="22"/>
                <w:lang w:eastAsia="ko-KR"/>
              </w:rPr>
            </w:pPr>
            <w:r>
              <w:rPr>
                <w:rFonts w:eastAsia="Batang"/>
                <w:spacing w:val="-20"/>
                <w:sz w:val="22"/>
                <w:szCs w:val="22"/>
                <w:lang w:eastAsia="ko-KR"/>
              </w:rPr>
              <w:t>подпрограммы на эффектив-ность МП</w:t>
            </w:r>
          </w:p>
          <w:p>
            <w:pPr>
              <w:jc w:val="center"/>
              <w:rPr>
                <w:rFonts w:eastAsia="Batang"/>
                <w:spacing w:val="-20"/>
                <w:sz w:val="22"/>
                <w:szCs w:val="22"/>
                <w:lang w:eastAsia="ko-KR"/>
              </w:rPr>
            </w:pPr>
          </w:p>
          <w:p>
            <w:pPr>
              <w:jc w:val="center"/>
              <w:rPr>
                <w:spacing w:val="-20"/>
                <w:sz w:val="22"/>
                <w:szCs w:val="22"/>
              </w:rPr>
            </w:pPr>
          </w:p>
        </w:tc>
        <w:tc>
          <w:tcPr>
            <w:tcW w:w="1319" w:type="dxa"/>
            <w:tcBorders>
              <w:top w:val="single" w:color="000000" w:sz="4" w:space="0"/>
              <w:left w:val="single" w:color="000000" w:sz="4" w:space="0"/>
              <w:bottom w:val="single" w:color="000000" w:sz="4" w:space="0"/>
            </w:tcBorders>
            <w:shd w:val="clear" w:color="auto" w:fill="auto"/>
          </w:tcPr>
          <w:p>
            <w:pPr>
              <w:rPr>
                <w:rFonts w:eastAsia="Batang"/>
                <w:spacing w:val="-20"/>
                <w:sz w:val="22"/>
                <w:szCs w:val="22"/>
                <w:lang w:eastAsia="ko-KR"/>
              </w:rPr>
            </w:pPr>
            <w:r>
              <w:rPr>
                <w:spacing w:val="-20"/>
                <w:sz w:val="22"/>
                <w:szCs w:val="22"/>
              </w:rPr>
              <w:t>Суммарная планируемая результатив-ность МП</w:t>
            </w:r>
          </w:p>
          <w:p>
            <w:pPr>
              <w:jc w:val="center"/>
              <w:rPr>
                <w:rFonts w:eastAsia="Batang"/>
                <w:spacing w:val="-20"/>
                <w:sz w:val="22"/>
                <w:szCs w:val="22"/>
                <w:lang w:eastAsia="ko-KR"/>
              </w:rPr>
            </w:pPr>
          </w:p>
          <w:p>
            <w:pPr>
              <w:jc w:val="center"/>
              <w:rPr>
                <w:spacing w:val="-20"/>
                <w:sz w:val="22"/>
                <w:szCs w:val="22"/>
              </w:rPr>
            </w:pPr>
          </w:p>
          <w:p>
            <w:pPr>
              <w:jc w:val="center"/>
              <w:rPr>
                <w:spacing w:val="-20"/>
                <w:sz w:val="22"/>
                <w:szCs w:val="22"/>
              </w:rPr>
            </w:pPr>
          </w:p>
        </w:tc>
        <w:tc>
          <w:tcPr>
            <w:tcW w:w="1295"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Показатель результатив-ности достижения  i-ого целевого показателя ГП</w:t>
            </w:r>
          </w:p>
          <w:p>
            <w:pPr>
              <w:jc w:val="center"/>
              <w:rPr>
                <w:spacing w:val="-20"/>
                <w:sz w:val="22"/>
                <w:szCs w:val="22"/>
              </w:rPr>
            </w:pPr>
          </w:p>
          <w:p>
            <w:pPr>
              <w:jc w:val="center"/>
              <w:rPr>
                <w:spacing w:val="-20"/>
                <w:sz w:val="22"/>
                <w:szCs w:val="22"/>
              </w:rPr>
            </w:pPr>
          </w:p>
          <w:p>
            <w:pPr>
              <w:jc w:val="center"/>
              <w:rPr>
                <w:spacing w:val="-20"/>
                <w:sz w:val="22"/>
                <w:szCs w:val="22"/>
              </w:rPr>
            </w:pPr>
          </w:p>
          <w:p>
            <w:pPr>
              <w:jc w:val="center"/>
              <w:rPr>
                <w:spacing w:val="-20"/>
                <w:sz w:val="22"/>
                <w:szCs w:val="22"/>
              </w:rPr>
            </w:pP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rPr>
                <w:spacing w:val="-20"/>
                <w:sz w:val="22"/>
                <w:szCs w:val="22"/>
              </w:rPr>
            </w:pPr>
            <w:r>
              <w:rPr>
                <w:spacing w:val="-20"/>
                <w:sz w:val="22"/>
                <w:szCs w:val="22"/>
              </w:rPr>
              <w:t>Планируемый показатель результативности МП</w:t>
            </w:r>
          </w:p>
          <w:p>
            <w:pPr>
              <w:jc w:val="center"/>
              <w:rPr>
                <w:spacing w:val="-20"/>
                <w:sz w:val="22"/>
                <w:szCs w:val="22"/>
              </w:rPr>
            </w:pPr>
          </w:p>
          <w:p>
            <w:pPr>
              <w:ind w:left="-13"/>
              <w:jc w:val="center"/>
              <w:rPr>
                <w:spacing w:val="-20"/>
                <w:sz w:val="22"/>
                <w:szCs w:val="22"/>
              </w:rPr>
            </w:pPr>
          </w:p>
        </w:tc>
      </w:tr>
      <w:tr>
        <w:tblPrEx>
          <w:tblLayout w:type="fixed"/>
          <w:tblCellMar>
            <w:top w:w="0" w:type="dxa"/>
            <w:left w:w="108" w:type="dxa"/>
            <w:bottom w:w="0" w:type="dxa"/>
            <w:right w:w="108" w:type="dxa"/>
          </w:tblCellMar>
        </w:tblPrEx>
        <w:trPr>
          <w:tblHeader/>
        </w:trPr>
        <w:tc>
          <w:tcPr>
            <w:tcW w:w="2187"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1</w:t>
            </w:r>
          </w:p>
        </w:tc>
        <w:tc>
          <w:tcPr>
            <w:tcW w:w="709"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2</w:t>
            </w:r>
          </w:p>
        </w:tc>
        <w:tc>
          <w:tcPr>
            <w:tcW w:w="914"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3</w:t>
            </w:r>
          </w:p>
        </w:tc>
        <w:tc>
          <w:tcPr>
            <w:tcW w:w="875"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4</w:t>
            </w:r>
          </w:p>
        </w:tc>
        <w:tc>
          <w:tcPr>
            <w:tcW w:w="1433"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5</w:t>
            </w:r>
          </w:p>
        </w:tc>
        <w:tc>
          <w:tcPr>
            <w:tcW w:w="1658"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6</w:t>
            </w:r>
          </w:p>
        </w:tc>
        <w:tc>
          <w:tcPr>
            <w:tcW w:w="1476"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7</w:t>
            </w:r>
          </w:p>
        </w:tc>
        <w:tc>
          <w:tcPr>
            <w:tcW w:w="1487"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8</w:t>
            </w:r>
          </w:p>
        </w:tc>
        <w:tc>
          <w:tcPr>
            <w:tcW w:w="1319"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9</w:t>
            </w:r>
          </w:p>
        </w:tc>
        <w:tc>
          <w:tcPr>
            <w:tcW w:w="1295" w:type="dxa"/>
            <w:tcBorders>
              <w:top w:val="single" w:color="000000" w:sz="4" w:space="0"/>
              <w:left w:val="single" w:color="000000" w:sz="4" w:space="0"/>
              <w:bottom w:val="single" w:color="000000" w:sz="4" w:space="0"/>
            </w:tcBorders>
            <w:shd w:val="clear" w:color="auto" w:fill="auto"/>
          </w:tcPr>
          <w:p>
            <w:pPr>
              <w:rPr>
                <w:spacing w:val="-20"/>
                <w:sz w:val="22"/>
                <w:szCs w:val="22"/>
              </w:rPr>
            </w:pPr>
            <w:r>
              <w:rPr>
                <w:spacing w:val="-20"/>
                <w:sz w:val="22"/>
                <w:szCs w:val="22"/>
              </w:rPr>
              <w:t>10</w:t>
            </w: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rPr>
                <w:rFonts w:eastAsia="Batang"/>
                <w:sz w:val="22"/>
                <w:szCs w:val="22"/>
                <w:lang w:eastAsia="ko-KR"/>
              </w:rPr>
            </w:pPr>
            <w:r>
              <w:rPr>
                <w:spacing w:val="-20"/>
                <w:sz w:val="22"/>
                <w:szCs w:val="22"/>
              </w:rPr>
              <w:t>11</w:t>
            </w:r>
          </w:p>
        </w:tc>
      </w:tr>
      <w:tr>
        <w:tblPrEx>
          <w:tblLayout w:type="fixed"/>
          <w:tblCellMar>
            <w:top w:w="0" w:type="dxa"/>
            <w:left w:w="108" w:type="dxa"/>
            <w:bottom w:w="0" w:type="dxa"/>
            <w:right w:w="108" w:type="dxa"/>
          </w:tblCellMar>
        </w:tblPrEx>
        <w:tc>
          <w:tcPr>
            <w:tcW w:w="15006" w:type="dxa"/>
            <w:gridSpan w:val="11"/>
            <w:tcBorders>
              <w:top w:val="single" w:color="000000" w:sz="4" w:space="0"/>
              <w:left w:val="single" w:color="000000" w:sz="4" w:space="0"/>
              <w:bottom w:val="single" w:color="000000" w:sz="4" w:space="0"/>
              <w:right w:val="single" w:color="000000" w:sz="4" w:space="0"/>
            </w:tcBorders>
            <w:shd w:val="clear" w:color="auto" w:fill="auto"/>
          </w:tcPr>
          <w:p>
            <w:pPr>
              <w:jc w:val="center"/>
              <w:rPr>
                <w:sz w:val="22"/>
                <w:szCs w:val="22"/>
              </w:rPr>
            </w:pPr>
            <w:r>
              <w:rPr>
                <w:rFonts w:eastAsia="Batang"/>
                <w:sz w:val="22"/>
                <w:szCs w:val="22"/>
                <w:lang w:eastAsia="ko-KR"/>
              </w:rPr>
              <w:t xml:space="preserve">Муниципальная  подпрограмма </w:t>
            </w:r>
            <w:r>
              <w:rPr>
                <w:sz w:val="22"/>
                <w:szCs w:val="22"/>
              </w:rPr>
              <w:t>«Развитие социальной, инженерной инфраструктуры и строительство жилья на территории  Кривошеевского сельсовета Нижнеломовского района на период 2020-2025 годы»</w:t>
            </w:r>
          </w:p>
          <w:p>
            <w:pPr>
              <w:jc w:val="center"/>
              <w:rPr>
                <w:sz w:val="22"/>
                <w:szCs w:val="22"/>
              </w:rPr>
            </w:pPr>
          </w:p>
          <w:p>
            <w:pPr>
              <w:jc w:val="center"/>
              <w:rPr>
                <w:spacing w:val="-20"/>
                <w:kern w:val="1"/>
                <w:sz w:val="22"/>
                <w:szCs w:val="22"/>
              </w:rPr>
            </w:pPr>
          </w:p>
        </w:tc>
      </w:tr>
      <w:tr>
        <w:tblPrEx>
          <w:tblLayout w:type="fixed"/>
          <w:tblCellMar>
            <w:top w:w="0" w:type="dxa"/>
            <w:left w:w="108" w:type="dxa"/>
            <w:bottom w:w="0" w:type="dxa"/>
            <w:right w:w="108" w:type="dxa"/>
          </w:tblCellMar>
        </w:tblPrEx>
        <w:tc>
          <w:tcPr>
            <w:tcW w:w="2187" w:type="dxa"/>
            <w:tcBorders>
              <w:top w:val="single" w:color="000000" w:sz="4" w:space="0"/>
              <w:left w:val="single" w:color="000000" w:sz="4" w:space="0"/>
              <w:bottom w:val="single" w:color="000000" w:sz="4" w:space="0"/>
            </w:tcBorders>
            <w:shd w:val="clear" w:color="auto" w:fill="auto"/>
          </w:tcPr>
          <w:p>
            <w:pPr>
              <w:autoSpaceDE w:val="0"/>
              <w:autoSpaceDN w:val="0"/>
              <w:adjustRightInd w:val="0"/>
              <w:jc w:val="both"/>
              <w:rPr>
                <w:sz w:val="22"/>
                <w:szCs w:val="22"/>
              </w:rPr>
            </w:pPr>
            <w:r>
              <w:rPr>
                <w:sz w:val="22"/>
                <w:szCs w:val="22"/>
              </w:rPr>
              <w:t xml:space="preserve">Ввод (приобретение) жилья для граждан, проживающих на сельских территориях, </w:t>
            </w:r>
          </w:p>
        </w:tc>
        <w:tc>
          <w:tcPr>
            <w:tcW w:w="709" w:type="dxa"/>
            <w:tcBorders>
              <w:top w:val="single" w:color="000000" w:sz="4" w:space="0"/>
              <w:left w:val="single" w:color="000000" w:sz="4" w:space="0"/>
              <w:bottom w:val="single" w:color="000000" w:sz="4" w:space="0"/>
            </w:tcBorders>
            <w:shd w:val="clear" w:color="auto" w:fill="auto"/>
          </w:tcPr>
          <w:p>
            <w:pPr>
              <w:snapToGrid w:val="0"/>
              <w:rPr>
                <w:sz w:val="22"/>
                <w:szCs w:val="22"/>
              </w:rPr>
            </w:pPr>
            <w:r>
              <w:rPr>
                <w:sz w:val="22"/>
                <w:szCs w:val="22"/>
              </w:rPr>
              <w:t>кв.м.</w:t>
            </w:r>
          </w:p>
        </w:tc>
        <w:tc>
          <w:tcPr>
            <w:tcW w:w="914" w:type="dxa"/>
            <w:tcBorders>
              <w:top w:val="single" w:color="000000" w:sz="4" w:space="0"/>
              <w:left w:val="single" w:color="000000" w:sz="4" w:space="0"/>
              <w:bottom w:val="single" w:color="000000" w:sz="4" w:space="0"/>
            </w:tcBorders>
            <w:shd w:val="clear" w:color="auto" w:fill="auto"/>
          </w:tcPr>
          <w:p>
            <w:pPr>
              <w:snapToGrid w:val="0"/>
              <w:rPr>
                <w:sz w:val="22"/>
                <w:szCs w:val="22"/>
              </w:rPr>
            </w:pPr>
          </w:p>
        </w:tc>
        <w:tc>
          <w:tcPr>
            <w:tcW w:w="875" w:type="dxa"/>
            <w:tcBorders>
              <w:top w:val="single" w:color="000000" w:sz="4" w:space="0"/>
              <w:left w:val="single" w:color="000000" w:sz="4" w:space="0"/>
              <w:bottom w:val="single" w:color="000000" w:sz="4" w:space="0"/>
            </w:tcBorders>
            <w:shd w:val="clear" w:color="auto" w:fill="auto"/>
          </w:tcPr>
          <w:p>
            <w:pPr>
              <w:snapToGrid w:val="0"/>
              <w:rPr>
                <w:sz w:val="22"/>
                <w:szCs w:val="22"/>
              </w:rPr>
            </w:pPr>
          </w:p>
        </w:tc>
        <w:tc>
          <w:tcPr>
            <w:tcW w:w="1433"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658"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76"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87"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319"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295" w:type="dxa"/>
            <w:tcBorders>
              <w:top w:val="single" w:color="000000" w:sz="4" w:space="0"/>
              <w:left w:val="single" w:color="000000" w:sz="4" w:space="0"/>
              <w:bottom w:val="single" w:color="000000" w:sz="4" w:space="0"/>
            </w:tcBorders>
            <w:shd w:val="clear" w:color="auto" w:fill="auto"/>
          </w:tcPr>
          <w:p>
            <w:pPr>
              <w:jc w:val="center"/>
              <w:rPr>
                <w:sz w:val="22"/>
                <w:szCs w:val="22"/>
              </w:rPr>
            </w:pP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snapToGrid w:val="0"/>
              <w:jc w:val="center"/>
              <w:rPr>
                <w:spacing w:val="-20"/>
                <w:kern w:val="1"/>
                <w:sz w:val="22"/>
                <w:szCs w:val="22"/>
              </w:rPr>
            </w:pPr>
            <w:r>
              <w:rPr>
                <w:sz w:val="22"/>
                <w:szCs w:val="22"/>
              </w:rPr>
              <w:t>Х</w:t>
            </w:r>
          </w:p>
        </w:tc>
      </w:tr>
      <w:tr>
        <w:tblPrEx>
          <w:tblLayout w:type="fixed"/>
          <w:tblCellMar>
            <w:top w:w="0" w:type="dxa"/>
            <w:left w:w="108" w:type="dxa"/>
            <w:bottom w:w="0" w:type="dxa"/>
            <w:right w:w="108" w:type="dxa"/>
          </w:tblCellMar>
        </w:tblPrEx>
        <w:tc>
          <w:tcPr>
            <w:tcW w:w="2187" w:type="dxa"/>
            <w:tcBorders>
              <w:top w:val="single" w:color="000000" w:sz="4" w:space="0"/>
              <w:left w:val="single" w:color="000000" w:sz="4" w:space="0"/>
              <w:bottom w:val="single" w:color="000000" w:sz="4" w:space="0"/>
            </w:tcBorders>
            <w:shd w:val="clear" w:color="auto" w:fill="auto"/>
          </w:tcPr>
          <w:p>
            <w:pPr>
              <w:rPr>
                <w:sz w:val="22"/>
                <w:szCs w:val="22"/>
              </w:rPr>
            </w:pPr>
            <w:r>
              <w:rPr>
                <w:sz w:val="22"/>
                <w:szCs w:val="22"/>
              </w:rPr>
              <w:t xml:space="preserve">Ввод жилья, предоставленного гражданам по договорам найма жилого помещения, кв. м </w:t>
            </w:r>
          </w:p>
        </w:tc>
        <w:tc>
          <w:tcPr>
            <w:tcW w:w="709" w:type="dxa"/>
            <w:tcBorders>
              <w:top w:val="single" w:color="000000" w:sz="4" w:space="0"/>
              <w:left w:val="single" w:color="000000" w:sz="4" w:space="0"/>
              <w:bottom w:val="single" w:color="000000" w:sz="4" w:space="0"/>
            </w:tcBorders>
            <w:shd w:val="clear" w:color="auto" w:fill="auto"/>
          </w:tcPr>
          <w:p>
            <w:pPr>
              <w:snapToGrid w:val="0"/>
              <w:rPr>
                <w:sz w:val="22"/>
                <w:szCs w:val="22"/>
              </w:rPr>
            </w:pPr>
            <w:r>
              <w:rPr>
                <w:sz w:val="22"/>
                <w:szCs w:val="22"/>
              </w:rPr>
              <w:t>кв.м.</w:t>
            </w:r>
          </w:p>
        </w:tc>
        <w:tc>
          <w:tcPr>
            <w:tcW w:w="914" w:type="dxa"/>
            <w:tcBorders>
              <w:top w:val="single" w:color="000000" w:sz="4" w:space="0"/>
              <w:left w:val="single" w:color="000000" w:sz="4" w:space="0"/>
              <w:bottom w:val="single" w:color="000000" w:sz="4" w:space="0"/>
            </w:tcBorders>
            <w:shd w:val="clear" w:color="auto" w:fill="auto"/>
          </w:tcPr>
          <w:p>
            <w:pPr>
              <w:snapToGrid w:val="0"/>
              <w:rPr>
                <w:sz w:val="22"/>
                <w:szCs w:val="22"/>
              </w:rPr>
            </w:pPr>
          </w:p>
        </w:tc>
        <w:tc>
          <w:tcPr>
            <w:tcW w:w="875" w:type="dxa"/>
            <w:tcBorders>
              <w:top w:val="single" w:color="000000" w:sz="4" w:space="0"/>
              <w:left w:val="single" w:color="000000" w:sz="4" w:space="0"/>
              <w:bottom w:val="single" w:color="000000" w:sz="4" w:space="0"/>
            </w:tcBorders>
            <w:shd w:val="clear" w:color="auto" w:fill="auto"/>
          </w:tcPr>
          <w:p>
            <w:pPr>
              <w:snapToGrid w:val="0"/>
              <w:rPr>
                <w:sz w:val="22"/>
                <w:szCs w:val="22"/>
              </w:rPr>
            </w:pPr>
          </w:p>
        </w:tc>
        <w:tc>
          <w:tcPr>
            <w:tcW w:w="1433"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658"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76"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87"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319"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295" w:type="dxa"/>
            <w:tcBorders>
              <w:top w:val="single" w:color="000000" w:sz="4" w:space="0"/>
              <w:left w:val="single" w:color="000000" w:sz="4" w:space="0"/>
              <w:bottom w:val="single" w:color="000000" w:sz="4" w:space="0"/>
            </w:tcBorders>
            <w:shd w:val="clear" w:color="auto" w:fill="auto"/>
          </w:tcPr>
          <w:p>
            <w:pPr>
              <w:jc w:val="center"/>
              <w:rPr>
                <w:sz w:val="22"/>
                <w:szCs w:val="22"/>
              </w:rPr>
            </w:pP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snapToGrid w:val="0"/>
              <w:jc w:val="center"/>
              <w:rPr>
                <w:sz w:val="22"/>
                <w:szCs w:val="22"/>
              </w:rPr>
            </w:pPr>
            <w:r>
              <w:rPr>
                <w:sz w:val="22"/>
                <w:szCs w:val="22"/>
              </w:rPr>
              <w:t>Х</w:t>
            </w:r>
          </w:p>
        </w:tc>
      </w:tr>
      <w:tr>
        <w:tblPrEx>
          <w:tblLayout w:type="fixed"/>
          <w:tblCellMar>
            <w:top w:w="0" w:type="dxa"/>
            <w:left w:w="108" w:type="dxa"/>
            <w:bottom w:w="0" w:type="dxa"/>
            <w:right w:w="108" w:type="dxa"/>
          </w:tblCellMar>
        </w:tblPrEx>
        <w:trPr>
          <w:trHeight w:val="465" w:hRule="atLeast"/>
        </w:trPr>
        <w:tc>
          <w:tcPr>
            <w:tcW w:w="2187" w:type="dxa"/>
            <w:tcBorders>
              <w:top w:val="single" w:color="000000" w:sz="4" w:space="0"/>
              <w:left w:val="single" w:color="000000" w:sz="4" w:space="0"/>
              <w:bottom w:val="single" w:color="000000" w:sz="4" w:space="0"/>
            </w:tcBorders>
            <w:shd w:val="clear" w:color="auto" w:fill="auto"/>
          </w:tcPr>
          <w:p>
            <w:pPr>
              <w:spacing w:line="216" w:lineRule="auto"/>
              <w:rPr>
                <w:sz w:val="22"/>
                <w:szCs w:val="22"/>
              </w:rPr>
            </w:pPr>
            <w:r>
              <w:rPr>
                <w:spacing w:val="-20"/>
                <w:sz w:val="22"/>
                <w:szCs w:val="22"/>
              </w:rPr>
              <w:t>Итоговое значение  (по подпрограмме)</w:t>
            </w:r>
          </w:p>
        </w:tc>
        <w:tc>
          <w:tcPr>
            <w:tcW w:w="709" w:type="dxa"/>
            <w:tcBorders>
              <w:top w:val="single" w:color="000000" w:sz="4" w:space="0"/>
              <w:left w:val="single" w:color="000000" w:sz="4" w:space="0"/>
              <w:bottom w:val="single" w:color="000000" w:sz="4" w:space="0"/>
            </w:tcBorders>
            <w:shd w:val="clear" w:color="auto" w:fill="auto"/>
          </w:tcPr>
          <w:p>
            <w:pPr>
              <w:snapToGrid w:val="0"/>
              <w:jc w:val="center"/>
              <w:rPr>
                <w:sz w:val="22"/>
                <w:szCs w:val="22"/>
              </w:rPr>
            </w:pPr>
          </w:p>
        </w:tc>
        <w:tc>
          <w:tcPr>
            <w:tcW w:w="914"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875"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433"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658" w:type="dxa"/>
            <w:tcBorders>
              <w:top w:val="single" w:color="000000" w:sz="4" w:space="0"/>
              <w:left w:val="single" w:color="000000" w:sz="4" w:space="0"/>
              <w:bottom w:val="single" w:color="000000" w:sz="4" w:space="0"/>
            </w:tcBorders>
            <w:shd w:val="clear" w:color="auto" w:fill="auto"/>
          </w:tcPr>
          <w:p>
            <w:pPr>
              <w:snapToGrid w:val="0"/>
              <w:jc w:val="center"/>
              <w:rPr>
                <w:sz w:val="22"/>
                <w:szCs w:val="22"/>
              </w:rPr>
            </w:pPr>
          </w:p>
        </w:tc>
        <w:tc>
          <w:tcPr>
            <w:tcW w:w="1476" w:type="dxa"/>
            <w:tcBorders>
              <w:top w:val="single" w:color="000000" w:sz="4" w:space="0"/>
              <w:left w:val="single" w:color="000000" w:sz="4" w:space="0"/>
              <w:bottom w:val="single" w:color="000000" w:sz="4" w:space="0"/>
            </w:tcBorders>
            <w:shd w:val="clear" w:color="auto" w:fill="auto"/>
          </w:tcPr>
          <w:p>
            <w:pPr>
              <w:jc w:val="center"/>
              <w:rPr>
                <w:sz w:val="22"/>
                <w:szCs w:val="22"/>
              </w:rPr>
            </w:pPr>
          </w:p>
        </w:tc>
        <w:tc>
          <w:tcPr>
            <w:tcW w:w="1487" w:type="dxa"/>
            <w:tcBorders>
              <w:top w:val="single" w:color="000000" w:sz="4" w:space="0"/>
              <w:left w:val="single" w:color="000000" w:sz="4" w:space="0"/>
              <w:bottom w:val="single" w:color="000000" w:sz="4" w:space="0"/>
            </w:tcBorders>
            <w:shd w:val="clear" w:color="auto" w:fill="auto"/>
          </w:tcPr>
          <w:p>
            <w:pPr>
              <w:snapToGrid w:val="0"/>
              <w:jc w:val="center"/>
              <w:rPr>
                <w:sz w:val="22"/>
                <w:szCs w:val="22"/>
              </w:rPr>
            </w:pPr>
          </w:p>
        </w:tc>
        <w:tc>
          <w:tcPr>
            <w:tcW w:w="1319" w:type="dxa"/>
            <w:tcBorders>
              <w:top w:val="single" w:color="000000" w:sz="4" w:space="0"/>
              <w:left w:val="single" w:color="000000" w:sz="4" w:space="0"/>
              <w:bottom w:val="single" w:color="000000" w:sz="4" w:space="0"/>
            </w:tcBorders>
            <w:shd w:val="clear" w:color="auto" w:fill="auto"/>
          </w:tcPr>
          <w:p>
            <w:pPr>
              <w:snapToGrid w:val="0"/>
              <w:jc w:val="center"/>
              <w:rPr>
                <w:sz w:val="22"/>
                <w:szCs w:val="22"/>
              </w:rPr>
            </w:pPr>
          </w:p>
        </w:tc>
        <w:tc>
          <w:tcPr>
            <w:tcW w:w="1295" w:type="dxa"/>
            <w:tcBorders>
              <w:top w:val="single" w:color="000000" w:sz="4" w:space="0"/>
              <w:left w:val="single" w:color="000000" w:sz="4" w:space="0"/>
              <w:bottom w:val="single" w:color="000000" w:sz="4" w:space="0"/>
            </w:tcBorders>
            <w:shd w:val="clear" w:color="auto" w:fill="auto"/>
          </w:tcPr>
          <w:p>
            <w:pPr>
              <w:jc w:val="center"/>
              <w:rPr>
                <w:sz w:val="22"/>
                <w:szCs w:val="22"/>
              </w:rPr>
            </w:pPr>
            <w:r>
              <w:rPr>
                <w:sz w:val="22"/>
                <w:szCs w:val="22"/>
              </w:rPr>
              <w:t>Х</w:t>
            </w:r>
          </w:p>
        </w:tc>
        <w:tc>
          <w:tcPr>
            <w:tcW w:w="1653" w:type="dxa"/>
            <w:tcBorders>
              <w:top w:val="single" w:color="000000" w:sz="4" w:space="0"/>
              <w:left w:val="single" w:color="000000" w:sz="4" w:space="0"/>
              <w:bottom w:val="single" w:color="000000" w:sz="4" w:space="0"/>
              <w:right w:val="single" w:color="000000" w:sz="4" w:space="0"/>
            </w:tcBorders>
            <w:shd w:val="clear" w:color="auto" w:fill="auto"/>
          </w:tcPr>
          <w:p>
            <w:pPr>
              <w:jc w:val="center"/>
              <w:rPr>
                <w:sz w:val="22"/>
                <w:szCs w:val="22"/>
              </w:rPr>
            </w:pPr>
            <w:r>
              <w:rPr>
                <w:sz w:val="22"/>
                <w:szCs w:val="22"/>
              </w:rPr>
              <w:t>Х</w:t>
            </w:r>
          </w:p>
        </w:tc>
      </w:tr>
    </w:tbl>
    <w:p>
      <w:pPr>
        <w:jc w:val="center"/>
        <w:rPr>
          <w:bCs/>
        </w:rPr>
      </w:pPr>
    </w:p>
    <w:p>
      <w:pPr>
        <w:autoSpaceDE w:val="0"/>
        <w:autoSpaceDN w:val="0"/>
        <w:adjustRightInd w:val="0"/>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autoSpaceDE w:val="0"/>
        <w:autoSpaceDN w:val="0"/>
        <w:adjustRightInd w:val="0"/>
        <w:ind w:firstLine="709"/>
        <w:jc w:val="both"/>
        <w:outlineLvl w:val="1"/>
        <w:rPr>
          <w:rFonts w:eastAsia="Calibri"/>
          <w:sz w:val="28"/>
          <w:szCs w:val="28"/>
          <w:lang w:eastAsia="en-US"/>
        </w:rPr>
      </w:pPr>
    </w:p>
    <w:p>
      <w:pPr>
        <w:jc w:val="right"/>
        <w:rPr>
          <w:sz w:val="22"/>
          <w:szCs w:val="22"/>
        </w:rPr>
      </w:pPr>
      <w:r>
        <w:rPr>
          <w:sz w:val="22"/>
          <w:szCs w:val="22"/>
        </w:rPr>
        <w:t>Приложение № 7</w:t>
      </w:r>
    </w:p>
    <w:p>
      <w:pPr>
        <w:jc w:val="right"/>
        <w:rPr>
          <w:sz w:val="22"/>
          <w:szCs w:val="22"/>
        </w:rPr>
      </w:pPr>
      <w:r>
        <w:rPr>
          <w:sz w:val="22"/>
          <w:szCs w:val="22"/>
        </w:rPr>
        <w:t>к муниципальной  программе</w:t>
      </w:r>
    </w:p>
    <w:p>
      <w:pPr>
        <w:jc w:val="right"/>
        <w:rPr>
          <w:sz w:val="22"/>
          <w:szCs w:val="22"/>
        </w:rPr>
      </w:pPr>
      <w:r>
        <w:rPr>
          <w:sz w:val="22"/>
          <w:szCs w:val="22"/>
        </w:rPr>
        <w:t xml:space="preserve"> «Развитие социальной, инженерной инфраструктуры</w:t>
      </w:r>
    </w:p>
    <w:p>
      <w:pPr>
        <w:jc w:val="right"/>
        <w:rPr>
          <w:sz w:val="22"/>
          <w:szCs w:val="22"/>
        </w:rPr>
      </w:pPr>
      <w:r>
        <w:rPr>
          <w:sz w:val="22"/>
          <w:szCs w:val="22"/>
        </w:rPr>
        <w:t xml:space="preserve"> и строительство жилья на территории</w:t>
      </w:r>
    </w:p>
    <w:p>
      <w:pPr>
        <w:jc w:val="right"/>
        <w:rPr>
          <w:sz w:val="22"/>
          <w:szCs w:val="22"/>
        </w:rPr>
      </w:pPr>
      <w:r>
        <w:rPr>
          <w:sz w:val="22"/>
          <w:szCs w:val="22"/>
        </w:rPr>
        <w:t xml:space="preserve">  Кривошеевского сельсовета</w:t>
      </w:r>
    </w:p>
    <w:p>
      <w:pPr>
        <w:jc w:val="right"/>
        <w:rPr>
          <w:sz w:val="22"/>
          <w:szCs w:val="22"/>
        </w:rPr>
      </w:pPr>
      <w:r>
        <w:rPr>
          <w:sz w:val="22"/>
          <w:szCs w:val="22"/>
        </w:rPr>
        <w:t xml:space="preserve"> Нижнеломовского района на период 2020-2025 годы»</w:t>
      </w:r>
    </w:p>
    <w:p>
      <w:pPr>
        <w:jc w:val="right"/>
        <w:rPr>
          <w:sz w:val="22"/>
          <w:szCs w:val="22"/>
        </w:rPr>
      </w:pPr>
    </w:p>
    <w:p>
      <w:pPr>
        <w:autoSpaceDN w:val="0"/>
        <w:adjustRightInd w:val="0"/>
        <w:jc w:val="right"/>
        <w:outlineLvl w:val="1"/>
      </w:pPr>
    </w:p>
    <w:p>
      <w:pPr>
        <w:autoSpaceDN w:val="0"/>
        <w:adjustRightInd w:val="0"/>
        <w:jc w:val="center"/>
        <w:outlineLvl w:val="1"/>
        <w:rPr>
          <w:b/>
          <w:sz w:val="22"/>
          <w:szCs w:val="22"/>
        </w:rPr>
      </w:pPr>
      <w:r>
        <w:rPr>
          <w:b/>
          <w:sz w:val="22"/>
          <w:szCs w:val="22"/>
        </w:rPr>
        <w:t>Планируемая эффективность муниципальной подпрограммы</w:t>
      </w:r>
    </w:p>
    <w:p>
      <w:pPr>
        <w:jc w:val="center"/>
        <w:rPr>
          <w:b/>
          <w:bCs/>
          <w:sz w:val="22"/>
          <w:szCs w:val="22"/>
        </w:rPr>
      </w:pPr>
      <w:r>
        <w:rPr>
          <w:b/>
          <w:bCs/>
          <w:sz w:val="22"/>
          <w:szCs w:val="22"/>
        </w:rPr>
        <w:t xml:space="preserve">Кривошеевского сельсовета Нижнеломовского района </w:t>
      </w:r>
      <w:r>
        <w:rPr>
          <w:b/>
          <w:sz w:val="22"/>
          <w:szCs w:val="22"/>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
          <w:bCs/>
          <w:sz w:val="22"/>
          <w:szCs w:val="22"/>
        </w:rPr>
        <w:t xml:space="preserve"> </w:t>
      </w:r>
    </w:p>
    <w:p>
      <w:pPr>
        <w:autoSpaceDE w:val="0"/>
        <w:autoSpaceDN w:val="0"/>
        <w:adjustRightInd w:val="0"/>
        <w:ind w:firstLine="709"/>
        <w:jc w:val="center"/>
        <w:rPr>
          <w:b/>
          <w:sz w:val="22"/>
          <w:szCs w:val="22"/>
        </w:rPr>
      </w:pPr>
    </w:p>
    <w:p>
      <w:pPr>
        <w:autoSpaceDN w:val="0"/>
        <w:adjustRightInd w:val="0"/>
        <w:jc w:val="center"/>
        <w:outlineLvl w:val="1"/>
      </w:pPr>
    </w:p>
    <w:tbl>
      <w:tblPr>
        <w:tblStyle w:val="30"/>
        <w:tblW w:w="15451" w:type="dxa"/>
        <w:tblInd w:w="-639" w:type="dxa"/>
        <w:tblLayout w:type="fixed"/>
        <w:tblCellMar>
          <w:top w:w="0" w:type="dxa"/>
          <w:left w:w="70" w:type="dxa"/>
          <w:bottom w:w="0" w:type="dxa"/>
          <w:right w:w="70" w:type="dxa"/>
        </w:tblCellMar>
      </w:tblPr>
      <w:tblGrid>
        <w:gridCol w:w="6238"/>
        <w:gridCol w:w="1275"/>
        <w:gridCol w:w="1418"/>
        <w:gridCol w:w="1276"/>
        <w:gridCol w:w="1275"/>
        <w:gridCol w:w="1134"/>
        <w:gridCol w:w="142"/>
        <w:gridCol w:w="1276"/>
        <w:gridCol w:w="1417"/>
      </w:tblGrid>
      <w:tr>
        <w:tblPrEx>
          <w:tblLayout w:type="fixed"/>
          <w:tblCellMar>
            <w:top w:w="0" w:type="dxa"/>
            <w:left w:w="70" w:type="dxa"/>
            <w:bottom w:w="0" w:type="dxa"/>
            <w:right w:w="70" w:type="dxa"/>
          </w:tblCellMar>
        </w:tblPrEx>
        <w:trPr>
          <w:cantSplit/>
          <w:trHeight w:val="480" w:hRule="atLeast"/>
        </w:trPr>
        <w:tc>
          <w:tcPr>
            <w:tcW w:w="6238" w:type="dxa"/>
            <w:vMerge w:val="restart"/>
            <w:tcBorders>
              <w:top w:val="single" w:color="auto" w:sz="6" w:space="0"/>
              <w:left w:val="single" w:color="auto" w:sz="6" w:space="0"/>
              <w:bottom w:val="nil"/>
              <w:right w:val="single" w:color="auto" w:sz="6" w:space="0"/>
            </w:tcBorders>
          </w:tcPr>
          <w:p>
            <w:pPr>
              <w:pStyle w:val="70"/>
              <w:widowControl/>
              <w:jc w:val="center"/>
              <w:rPr>
                <w:rFonts w:ascii="Times New Roman" w:hAnsi="Times New Roman" w:cs="Times New Roman"/>
              </w:rPr>
            </w:pPr>
            <w:r>
              <w:rPr>
                <w:rFonts w:ascii="Times New Roman" w:hAnsi="Times New Roman" w:cs="Times New Roman"/>
              </w:rPr>
              <w:t>Наименование показателя</w:t>
            </w:r>
          </w:p>
        </w:tc>
        <w:tc>
          <w:tcPr>
            <w:tcW w:w="9213" w:type="dxa"/>
            <w:gridSpan w:val="8"/>
            <w:tcBorders>
              <w:top w:val="single" w:color="auto" w:sz="6" w:space="0"/>
              <w:left w:val="single" w:color="auto" w:sz="6" w:space="0"/>
              <w:bottom w:val="single" w:color="auto" w:sz="6" w:space="0"/>
              <w:right w:val="single" w:color="auto" w:sz="6" w:space="0"/>
            </w:tcBorders>
          </w:tcPr>
          <w:p>
            <w:pPr>
              <w:pStyle w:val="70"/>
              <w:widowControl/>
              <w:jc w:val="center"/>
              <w:rPr>
                <w:rFonts w:ascii="Times New Roman" w:hAnsi="Times New Roman" w:cs="Times New Roman"/>
              </w:rPr>
            </w:pPr>
            <w:r>
              <w:rPr>
                <w:rFonts w:ascii="Times New Roman" w:hAnsi="Times New Roman" w:cs="Times New Roman"/>
              </w:rPr>
              <w:t xml:space="preserve">Планируемый показатель     </w:t>
            </w:r>
            <w:r>
              <w:rPr>
                <w:rFonts w:ascii="Times New Roman" w:hAnsi="Times New Roman" w:cs="Times New Roman"/>
              </w:rPr>
              <w:br w:type="textWrapping"/>
            </w:r>
            <w:r>
              <w:rPr>
                <w:rFonts w:ascii="Times New Roman" w:hAnsi="Times New Roman" w:cs="Times New Roman"/>
              </w:rPr>
              <w:t xml:space="preserve">эффективности МП по годам   </w:t>
            </w:r>
            <w:r>
              <w:rPr>
                <w:rFonts w:ascii="Times New Roman" w:hAnsi="Times New Roman" w:cs="Times New Roman"/>
              </w:rPr>
              <w:br w:type="textWrapping"/>
            </w:r>
            <w:r>
              <w:rPr>
                <w:rFonts w:ascii="Times New Roman" w:hAnsi="Times New Roman" w:cs="Times New Roman"/>
              </w:rPr>
              <w:t>реализации</w:t>
            </w:r>
          </w:p>
        </w:tc>
      </w:tr>
      <w:tr>
        <w:tblPrEx>
          <w:tblLayout w:type="fixed"/>
          <w:tblCellMar>
            <w:top w:w="0" w:type="dxa"/>
            <w:left w:w="70" w:type="dxa"/>
            <w:bottom w:w="0" w:type="dxa"/>
            <w:right w:w="70" w:type="dxa"/>
          </w:tblCellMar>
        </w:tblPrEx>
        <w:trPr>
          <w:cantSplit/>
          <w:trHeight w:val="240" w:hRule="atLeast"/>
        </w:trPr>
        <w:tc>
          <w:tcPr>
            <w:tcW w:w="6238" w:type="dxa"/>
            <w:vMerge w:val="continue"/>
            <w:tcBorders>
              <w:top w:val="nil"/>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2020 год</w:t>
            </w: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2021 год </w:t>
            </w: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2022 год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2023 год  </w:t>
            </w:r>
          </w:p>
        </w:tc>
        <w:tc>
          <w:tcPr>
            <w:tcW w:w="1276"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2024 год</w:t>
            </w: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2025 год</w:t>
            </w: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r>
      <w:tr>
        <w:tblPrEx>
          <w:tblLayout w:type="fixed"/>
          <w:tblCellMar>
            <w:top w:w="0" w:type="dxa"/>
            <w:left w:w="70" w:type="dxa"/>
            <w:bottom w:w="0" w:type="dxa"/>
            <w:right w:w="70" w:type="dxa"/>
          </w:tblCellMar>
        </w:tblPrEx>
        <w:trPr>
          <w:cantSplit/>
          <w:trHeight w:val="240" w:hRule="atLeast"/>
        </w:trPr>
        <w:tc>
          <w:tcPr>
            <w:tcW w:w="623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1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2   </w:t>
            </w: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3   </w:t>
            </w: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4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5   </w:t>
            </w:r>
          </w:p>
        </w:tc>
        <w:tc>
          <w:tcPr>
            <w:tcW w:w="1276"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6</w:t>
            </w: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7</w:t>
            </w: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8</w:t>
            </w:r>
          </w:p>
        </w:tc>
      </w:tr>
      <w:tr>
        <w:tblPrEx>
          <w:tblLayout w:type="fixed"/>
          <w:tblCellMar>
            <w:top w:w="0" w:type="dxa"/>
            <w:left w:w="70" w:type="dxa"/>
            <w:bottom w:w="0" w:type="dxa"/>
            <w:right w:w="70" w:type="dxa"/>
          </w:tblCellMar>
        </w:tblPrEx>
        <w:trPr>
          <w:cantSplit/>
          <w:trHeight w:val="240" w:hRule="atLeast"/>
        </w:trPr>
        <w:tc>
          <w:tcPr>
            <w:tcW w:w="15451" w:type="dxa"/>
            <w:gridSpan w:val="9"/>
            <w:tcBorders>
              <w:top w:val="single" w:color="auto" w:sz="6" w:space="0"/>
              <w:left w:val="single" w:color="auto" w:sz="6" w:space="0"/>
              <w:bottom w:val="single" w:color="auto" w:sz="6" w:space="0"/>
              <w:right w:val="single" w:color="auto" w:sz="6" w:space="0"/>
            </w:tcBorders>
          </w:tcPr>
          <w:p>
            <w:pPr>
              <w:jc w:val="center"/>
              <w:rPr>
                <w:bCs/>
              </w:rPr>
            </w:pPr>
            <w:r>
              <w:t xml:space="preserve">Муниципальная программа </w:t>
            </w:r>
            <w:r>
              <w:rPr>
                <w:b/>
              </w:rPr>
              <w:t xml:space="preserve">  </w:t>
            </w:r>
            <w:r>
              <w:rPr>
                <w:bCs/>
                <w:sz w:val="22"/>
                <w:szCs w:val="22"/>
              </w:rPr>
              <w:t xml:space="preserve">Кривошеевского сельсовета Нижнеломовского района </w:t>
            </w:r>
            <w:r>
              <w:rPr>
                <w:sz w:val="22"/>
                <w:szCs w:val="22"/>
              </w:rPr>
              <w:t>«Развитие социальной, инженерной инфраструктуры и строительство жилья на территории  Кривошеевского сельсовета Нижнеломовского на период 2020-2025 годы»</w:t>
            </w:r>
            <w:r>
              <w:rPr>
                <w:bCs/>
                <w:sz w:val="22"/>
                <w:szCs w:val="22"/>
              </w:rPr>
              <w:t xml:space="preserve"> </w:t>
            </w:r>
          </w:p>
          <w:p>
            <w:pPr>
              <w:autoSpaceDE w:val="0"/>
              <w:autoSpaceDN w:val="0"/>
              <w:adjustRightInd w:val="0"/>
              <w:ind w:firstLine="709"/>
              <w:jc w:val="center"/>
              <w:rPr>
                <w:b/>
              </w:rPr>
            </w:pPr>
          </w:p>
          <w:p/>
        </w:tc>
      </w:tr>
      <w:tr>
        <w:tblPrEx>
          <w:tblLayout w:type="fixed"/>
          <w:tblCellMar>
            <w:top w:w="0" w:type="dxa"/>
            <w:left w:w="70" w:type="dxa"/>
            <w:bottom w:w="0" w:type="dxa"/>
            <w:right w:w="70" w:type="dxa"/>
          </w:tblCellMar>
        </w:tblPrEx>
        <w:trPr>
          <w:cantSplit/>
          <w:trHeight w:val="360" w:hRule="atLeast"/>
        </w:trPr>
        <w:tc>
          <w:tcPr>
            <w:tcW w:w="623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Планируемый показатель результативности  </w:t>
            </w:r>
            <w:r>
              <w:rPr>
                <w:rFonts w:ascii="Times New Roman" w:hAnsi="Times New Roman" w:cs="Times New Roman"/>
              </w:rPr>
              <w:br w:type="textWrapping"/>
            </w:r>
            <w:r>
              <w:rPr>
                <w:rFonts w:ascii="Times New Roman" w:hAnsi="Times New Roman" w:cs="Times New Roman"/>
              </w:rPr>
              <w:t xml:space="preserve">МП (Эмп)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134"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r>
      <w:tr>
        <w:tblPrEx>
          <w:tblLayout w:type="fixed"/>
          <w:tblCellMar>
            <w:top w:w="0" w:type="dxa"/>
            <w:left w:w="70" w:type="dxa"/>
            <w:bottom w:w="0" w:type="dxa"/>
            <w:right w:w="70" w:type="dxa"/>
          </w:tblCellMar>
        </w:tblPrEx>
        <w:trPr>
          <w:cantSplit/>
          <w:trHeight w:val="360" w:hRule="atLeast"/>
        </w:trPr>
        <w:tc>
          <w:tcPr>
            <w:tcW w:w="623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Суммарная планируемая результативность   </w:t>
            </w:r>
            <w:r>
              <w:rPr>
                <w:rFonts w:ascii="Times New Roman" w:hAnsi="Times New Roman" w:cs="Times New Roman"/>
              </w:rPr>
              <w:br w:type="textWrapping"/>
            </w:r>
            <w:r>
              <w:rPr>
                <w:rFonts w:ascii="Times New Roman" w:hAnsi="Times New Roman" w:cs="Times New Roman"/>
              </w:rPr>
              <w:t xml:space="preserve">(Эпп)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134"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r>
      <w:tr>
        <w:tblPrEx>
          <w:tblLayout w:type="fixed"/>
          <w:tblCellMar>
            <w:top w:w="0" w:type="dxa"/>
            <w:left w:w="70" w:type="dxa"/>
            <w:bottom w:w="0" w:type="dxa"/>
            <w:right w:w="70" w:type="dxa"/>
          </w:tblCellMar>
        </w:tblPrEx>
        <w:trPr>
          <w:cantSplit/>
          <w:trHeight w:val="240" w:hRule="atLeast"/>
        </w:trPr>
        <w:tc>
          <w:tcPr>
            <w:tcW w:w="623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r>
              <w:rPr>
                <w:rFonts w:ascii="Times New Roman" w:hAnsi="Times New Roman" w:cs="Times New Roman"/>
              </w:rPr>
              <w:t xml:space="preserve">Отклонение                               </w:t>
            </w: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6"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275"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134"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8" w:type="dxa"/>
            <w:gridSpan w:val="2"/>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c>
          <w:tcPr>
            <w:tcW w:w="1417" w:type="dxa"/>
            <w:tcBorders>
              <w:top w:val="single" w:color="auto" w:sz="6" w:space="0"/>
              <w:left w:val="single" w:color="auto" w:sz="6" w:space="0"/>
              <w:bottom w:val="single" w:color="auto" w:sz="6" w:space="0"/>
              <w:right w:val="single" w:color="auto" w:sz="6" w:space="0"/>
            </w:tcBorders>
          </w:tcPr>
          <w:p>
            <w:pPr>
              <w:pStyle w:val="70"/>
              <w:widowControl/>
              <w:rPr>
                <w:rFonts w:ascii="Times New Roman" w:hAnsi="Times New Roman" w:cs="Times New Roman"/>
              </w:rPr>
            </w:pPr>
          </w:p>
        </w:tc>
      </w:tr>
    </w:tbl>
    <w:p>
      <w:pPr>
        <w:autoSpaceDE w:val="0"/>
        <w:autoSpaceDN w:val="0"/>
        <w:adjustRightInd w:val="0"/>
        <w:ind w:firstLine="709"/>
        <w:jc w:val="both"/>
        <w:outlineLvl w:val="1"/>
        <w:rPr>
          <w:rFonts w:eastAsia="Calibri"/>
          <w:sz w:val="28"/>
          <w:szCs w:val="28"/>
          <w:lang w:eastAsia="en-US"/>
        </w:rPr>
      </w:pPr>
    </w:p>
    <w:p/>
    <w:p>
      <w:pPr>
        <w:rPr>
          <w:sz w:val="28"/>
          <w:szCs w:val="28"/>
        </w:rPr>
      </w:pPr>
    </w:p>
    <w:sectPr>
      <w:headerReference r:id="rId6" w:type="even"/>
      <w:endnotePr>
        <w:numFmt w:val="decimal"/>
      </w:endnotePr>
      <w:pgSz w:w="16840" w:h="11907" w:orient="landscape"/>
      <w:pgMar w:top="-22" w:right="1134" w:bottom="851" w:left="1134" w:header="720" w:footer="720"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PetersburgCTT">
    <w:altName w:val="Times New Roman"/>
    <w:panose1 w:val="00000000000000000000"/>
    <w:charset w:val="CC"/>
    <w:family w:val="roman"/>
    <w:pitch w:val="default"/>
    <w:sig w:usb0="00000000" w:usb1="00000000" w:usb2="00000000" w:usb3="00000000" w:csb0="00000005" w:csb1="00000000"/>
  </w:font>
  <w:font w:name="Tahoma">
    <w:panose1 w:val="020B0604030504040204"/>
    <w:charset w:val="CC"/>
    <w:family w:val="swiss"/>
    <w:pitch w:val="default"/>
    <w:sig w:usb0="E1002EFF" w:usb1="C000605B" w:usb2="00000029" w:usb3="00000000" w:csb0="200101FF" w:csb1="20280000"/>
  </w:font>
  <w:font w:name="Mangal">
    <w:panose1 w:val="02040503050203030202"/>
    <w:charset w:val="01"/>
    <w:family w:val="roman"/>
    <w:pitch w:val="default"/>
    <w:sig w:usb0="00008003"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NSimSun">
    <w:panose1 w:val="02010609030101010101"/>
    <w:charset w:val="86"/>
    <w:family w:val="modern"/>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360"/>
      <w:rPr>
        <w:rStyle w:val="29"/>
      </w:rPr>
    </w:pPr>
  </w:p>
  <w:p>
    <w:pPr>
      <w:pStyle w:val="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left" w:pos="6240"/>
      </w:tabs>
    </w:pPr>
    <w:r>
      <w:tab/>
    </w:r>
  </w:p>
  <w:p>
    <w:pPr>
      <w:pStyle w:val="17"/>
      <w:tabs>
        <w:tab w:val="left" w:pos="624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1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characterSpacingControl w:val="doNotCompress"/>
  <w:compat>
    <w:compatSetting w:name="compatibilityMode" w:uri="http://schemas.microsoft.com/office/word" w:val="12"/>
  </w:compat>
  <w:rsids>
    <w:rsidRoot w:val="007B356B"/>
    <w:rsid w:val="00042013"/>
    <w:rsid w:val="000E74C0"/>
    <w:rsid w:val="000F60D7"/>
    <w:rsid w:val="00107840"/>
    <w:rsid w:val="0013043E"/>
    <w:rsid w:val="00193B38"/>
    <w:rsid w:val="001A53BF"/>
    <w:rsid w:val="001E43DA"/>
    <w:rsid w:val="00271F08"/>
    <w:rsid w:val="002C27BF"/>
    <w:rsid w:val="003000E8"/>
    <w:rsid w:val="0030217A"/>
    <w:rsid w:val="003544FA"/>
    <w:rsid w:val="00415621"/>
    <w:rsid w:val="00435D19"/>
    <w:rsid w:val="00473FA3"/>
    <w:rsid w:val="00582207"/>
    <w:rsid w:val="00687920"/>
    <w:rsid w:val="00711AB2"/>
    <w:rsid w:val="007A34FF"/>
    <w:rsid w:val="007B356B"/>
    <w:rsid w:val="00840AD1"/>
    <w:rsid w:val="00856061"/>
    <w:rsid w:val="008968C2"/>
    <w:rsid w:val="008A03AA"/>
    <w:rsid w:val="008A043B"/>
    <w:rsid w:val="008D7B1B"/>
    <w:rsid w:val="00955188"/>
    <w:rsid w:val="00A23FB8"/>
    <w:rsid w:val="00B40C8F"/>
    <w:rsid w:val="00B47670"/>
    <w:rsid w:val="00B728B1"/>
    <w:rsid w:val="00BA19EB"/>
    <w:rsid w:val="00BD5189"/>
    <w:rsid w:val="00C37A92"/>
    <w:rsid w:val="00D84CF8"/>
    <w:rsid w:val="00DB343B"/>
    <w:rsid w:val="00E20FC0"/>
    <w:rsid w:val="12B96353"/>
    <w:rsid w:val="1617401A"/>
    <w:rsid w:val="177D726C"/>
    <w:rsid w:val="1A00240B"/>
    <w:rsid w:val="1F761837"/>
    <w:rsid w:val="2431671B"/>
    <w:rsid w:val="29561C8D"/>
    <w:rsid w:val="2A8A34BE"/>
    <w:rsid w:val="2D385B86"/>
    <w:rsid w:val="2E853643"/>
    <w:rsid w:val="34401B41"/>
    <w:rsid w:val="35631D67"/>
    <w:rsid w:val="3A5A1C8A"/>
    <w:rsid w:val="405549C5"/>
    <w:rsid w:val="43E52C53"/>
    <w:rsid w:val="43F21FE0"/>
    <w:rsid w:val="483F1610"/>
    <w:rsid w:val="4B707F12"/>
    <w:rsid w:val="4BEF1D4E"/>
    <w:rsid w:val="51536AEB"/>
    <w:rsid w:val="52B244CD"/>
    <w:rsid w:val="56B148C3"/>
    <w:rsid w:val="5A5E3AEB"/>
    <w:rsid w:val="5B051017"/>
    <w:rsid w:val="5DD05ADD"/>
    <w:rsid w:val="629D408E"/>
    <w:rsid w:val="647C2E4A"/>
    <w:rsid w:val="6E3E17D8"/>
    <w:rsid w:val="70BB4E1B"/>
    <w:rsid w:val="761264FA"/>
    <w:rsid w:val="7FB94FE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99" w:semiHidden="0" w:name="heading 4"/>
    <w:lsdException w:qFormat="1" w:uiPriority="9"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nhideWhenUsed="0" w:uiPriority="99" w:name="annotation text"/>
    <w:lsdException w:unhideWhenUsed="0" w:uiPriority="99" w:semiHidden="0" w:name="header"/>
    <w:lsdException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nhideWhenUsed="0" w:uiPriority="99" w:semiHidden="0" w:name="Body Text Indent 3"/>
    <w:lsdException w:uiPriority="99" w:name="Block Text"/>
    <w:lsdException w:uiPriority="0" w:semiHidden="0" w:name="Hyperlink"/>
    <w:lsdException w:uiPriority="99" w:name="FollowedHyperlink"/>
    <w:lsdException w:qFormat="1" w:unhideWhenUsed="0" w:uiPriority="22" w:semiHidden="0" w:name="Strong"/>
    <w:lsdException w:qFormat="1" w:unhideWhenUsed="0" w:uiPriority="0" w:semiHidden="0" w:name="Emphasis"/>
    <w:lsdException w:unhideWhenUsed="0"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0"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paragraph" w:styleId="2">
    <w:name w:val="heading 1"/>
    <w:basedOn w:val="1"/>
    <w:next w:val="1"/>
    <w:link w:val="36"/>
    <w:qFormat/>
    <w:uiPriority w:val="0"/>
    <w:pPr>
      <w:keepNext/>
      <w:jc w:val="both"/>
      <w:outlineLvl w:val="0"/>
    </w:pPr>
  </w:style>
  <w:style w:type="paragraph" w:styleId="3">
    <w:name w:val="heading 2"/>
    <w:basedOn w:val="1"/>
    <w:next w:val="1"/>
    <w:link w:val="37"/>
    <w:qFormat/>
    <w:uiPriority w:val="99"/>
    <w:pPr>
      <w:keepNext/>
      <w:outlineLvl w:val="1"/>
    </w:pPr>
  </w:style>
  <w:style w:type="paragraph" w:styleId="4">
    <w:name w:val="heading 3"/>
    <w:basedOn w:val="1"/>
    <w:next w:val="1"/>
    <w:link w:val="38"/>
    <w:qFormat/>
    <w:uiPriority w:val="0"/>
    <w:pPr>
      <w:keepNext/>
      <w:jc w:val="center"/>
      <w:outlineLvl w:val="2"/>
    </w:pPr>
    <w:rPr>
      <w:b/>
      <w:bCs/>
      <w:sz w:val="40"/>
      <w:szCs w:val="40"/>
    </w:rPr>
  </w:style>
  <w:style w:type="paragraph" w:styleId="5">
    <w:name w:val="heading 4"/>
    <w:basedOn w:val="1"/>
    <w:next w:val="1"/>
    <w:link w:val="39"/>
    <w:qFormat/>
    <w:uiPriority w:val="99"/>
    <w:pPr>
      <w:keepNext/>
      <w:widowControl w:val="0"/>
      <w:jc w:val="center"/>
      <w:outlineLvl w:val="3"/>
    </w:pPr>
    <w:rPr>
      <w:sz w:val="28"/>
      <w:szCs w:val="28"/>
    </w:rPr>
  </w:style>
  <w:style w:type="paragraph" w:styleId="6">
    <w:name w:val="heading 6"/>
    <w:basedOn w:val="1"/>
    <w:next w:val="1"/>
    <w:link w:val="40"/>
    <w:qFormat/>
    <w:uiPriority w:val="99"/>
    <w:pPr>
      <w:tabs>
        <w:tab w:val="left" w:pos="0"/>
      </w:tabs>
      <w:spacing w:before="240" w:after="60"/>
      <w:ind w:left="4320" w:hanging="720"/>
      <w:jc w:val="both"/>
      <w:outlineLvl w:val="5"/>
    </w:pPr>
    <w:rPr>
      <w:rFonts w:ascii="PetersburgCTT" w:hAnsi="PetersburgCTT"/>
      <w:i/>
      <w:iCs/>
      <w:sz w:val="22"/>
      <w:szCs w:val="22"/>
      <w:lang w:eastAsia="en-US"/>
    </w:rPr>
  </w:style>
  <w:style w:type="paragraph" w:styleId="7">
    <w:name w:val="heading 7"/>
    <w:basedOn w:val="1"/>
    <w:next w:val="1"/>
    <w:link w:val="41"/>
    <w:qFormat/>
    <w:uiPriority w:val="99"/>
    <w:pPr>
      <w:tabs>
        <w:tab w:val="left" w:pos="0"/>
      </w:tabs>
      <w:spacing w:before="240" w:after="60"/>
      <w:ind w:left="5040" w:hanging="720"/>
      <w:jc w:val="both"/>
      <w:outlineLvl w:val="6"/>
    </w:pPr>
    <w:rPr>
      <w:rFonts w:ascii="PetersburgCTT" w:hAnsi="PetersburgCTT"/>
      <w:sz w:val="22"/>
      <w:szCs w:val="22"/>
      <w:lang w:eastAsia="en-US"/>
    </w:rPr>
  </w:style>
  <w:style w:type="paragraph" w:styleId="8">
    <w:name w:val="heading 8"/>
    <w:basedOn w:val="1"/>
    <w:next w:val="1"/>
    <w:link w:val="42"/>
    <w:qFormat/>
    <w:uiPriority w:val="99"/>
    <w:pPr>
      <w:tabs>
        <w:tab w:val="left" w:pos="0"/>
      </w:tabs>
      <w:spacing w:before="240" w:after="60"/>
      <w:ind w:left="5760" w:hanging="720"/>
      <w:jc w:val="both"/>
      <w:outlineLvl w:val="7"/>
    </w:pPr>
    <w:rPr>
      <w:rFonts w:ascii="PetersburgCTT" w:hAnsi="PetersburgCTT"/>
      <w:i/>
      <w:iCs/>
      <w:sz w:val="22"/>
      <w:szCs w:val="22"/>
      <w:lang w:eastAsia="en-US"/>
    </w:rPr>
  </w:style>
  <w:style w:type="paragraph" w:styleId="9">
    <w:name w:val="heading 9"/>
    <w:basedOn w:val="1"/>
    <w:next w:val="1"/>
    <w:link w:val="43"/>
    <w:qFormat/>
    <w:uiPriority w:val="99"/>
    <w:pPr>
      <w:tabs>
        <w:tab w:val="left" w:pos="0"/>
      </w:tabs>
      <w:spacing w:before="240" w:after="60"/>
      <w:ind w:left="6480" w:hanging="720"/>
      <w:jc w:val="both"/>
      <w:outlineLvl w:val="8"/>
    </w:pPr>
    <w:rPr>
      <w:rFonts w:ascii="PetersburgCTT" w:hAnsi="PetersburgCTT"/>
      <w:i/>
      <w:iCs/>
      <w:sz w:val="18"/>
      <w:szCs w:val="18"/>
      <w:lang w:eastAsia="en-US"/>
    </w:rPr>
  </w:style>
  <w:style w:type="character" w:default="1" w:styleId="25">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0">
    <w:name w:val="Balloon Text"/>
    <w:basedOn w:val="1"/>
    <w:link w:val="35"/>
    <w:unhideWhenUsed/>
    <w:uiPriority w:val="0"/>
    <w:rPr>
      <w:rFonts w:ascii="Tahoma" w:hAnsi="Tahoma" w:cs="Tahoma"/>
      <w:sz w:val="16"/>
      <w:szCs w:val="16"/>
    </w:rPr>
  </w:style>
  <w:style w:type="paragraph" w:styleId="11">
    <w:name w:val="Body Text Indent 3"/>
    <w:basedOn w:val="1"/>
    <w:link w:val="57"/>
    <w:uiPriority w:val="99"/>
    <w:pPr>
      <w:spacing w:after="120"/>
      <w:ind w:left="283"/>
      <w:jc w:val="both"/>
    </w:pPr>
    <w:rPr>
      <w:sz w:val="16"/>
      <w:szCs w:val="16"/>
    </w:rPr>
  </w:style>
  <w:style w:type="paragraph" w:styleId="12">
    <w:name w:val="caption"/>
    <w:basedOn w:val="1"/>
    <w:next w:val="1"/>
    <w:qFormat/>
    <w:uiPriority w:val="0"/>
    <w:pPr>
      <w:jc w:val="center"/>
    </w:pPr>
    <w:rPr>
      <w:b/>
      <w:bCs/>
      <w:sz w:val="40"/>
      <w:szCs w:val="40"/>
    </w:rPr>
  </w:style>
  <w:style w:type="paragraph" w:styleId="13">
    <w:name w:val="annotation text"/>
    <w:basedOn w:val="1"/>
    <w:link w:val="63"/>
    <w:semiHidden/>
    <w:uiPriority w:val="99"/>
    <w:pPr>
      <w:widowControl w:val="0"/>
    </w:pPr>
    <w:rPr>
      <w:sz w:val="20"/>
      <w:szCs w:val="20"/>
    </w:rPr>
  </w:style>
  <w:style w:type="paragraph" w:styleId="14">
    <w:name w:val="annotation subject"/>
    <w:basedOn w:val="13"/>
    <w:next w:val="13"/>
    <w:link w:val="65"/>
    <w:semiHidden/>
    <w:uiPriority w:val="99"/>
    <w:rPr>
      <w:b/>
      <w:bCs/>
    </w:rPr>
  </w:style>
  <w:style w:type="paragraph" w:styleId="15">
    <w:name w:val="Document Map"/>
    <w:basedOn w:val="1"/>
    <w:link w:val="47"/>
    <w:semiHidden/>
    <w:uiPriority w:val="99"/>
    <w:pPr>
      <w:widowControl w:val="0"/>
      <w:shd w:val="clear" w:color="auto" w:fill="000080"/>
    </w:pPr>
    <w:rPr>
      <w:sz w:val="2"/>
      <w:szCs w:val="2"/>
    </w:rPr>
  </w:style>
  <w:style w:type="paragraph" w:styleId="16">
    <w:name w:val="footnote text"/>
    <w:basedOn w:val="1"/>
    <w:link w:val="49"/>
    <w:uiPriority w:val="0"/>
    <w:pPr>
      <w:jc w:val="both"/>
    </w:pPr>
    <w:rPr>
      <w:sz w:val="20"/>
      <w:szCs w:val="20"/>
    </w:rPr>
  </w:style>
  <w:style w:type="paragraph" w:styleId="17">
    <w:name w:val="header"/>
    <w:basedOn w:val="1"/>
    <w:link w:val="44"/>
    <w:uiPriority w:val="99"/>
    <w:pPr>
      <w:widowControl w:val="0"/>
      <w:tabs>
        <w:tab w:val="center" w:pos="4153"/>
        <w:tab w:val="right" w:pos="8306"/>
      </w:tabs>
    </w:pPr>
    <w:rPr>
      <w:sz w:val="20"/>
      <w:szCs w:val="20"/>
    </w:rPr>
  </w:style>
  <w:style w:type="paragraph" w:styleId="18">
    <w:name w:val="Body Text"/>
    <w:basedOn w:val="1"/>
    <w:link w:val="51"/>
    <w:uiPriority w:val="0"/>
    <w:rPr>
      <w:sz w:val="20"/>
      <w:szCs w:val="20"/>
    </w:rPr>
  </w:style>
  <w:style w:type="paragraph" w:styleId="19">
    <w:name w:val="Body Text Indent"/>
    <w:basedOn w:val="1"/>
    <w:link w:val="59"/>
    <w:uiPriority w:val="99"/>
    <w:pPr>
      <w:widowControl w:val="0"/>
      <w:spacing w:after="120"/>
      <w:ind w:left="283"/>
    </w:pPr>
    <w:rPr>
      <w:sz w:val="20"/>
      <w:szCs w:val="20"/>
    </w:rPr>
  </w:style>
  <w:style w:type="paragraph" w:styleId="20">
    <w:name w:val="footer"/>
    <w:basedOn w:val="1"/>
    <w:link w:val="45"/>
    <w:uiPriority w:val="99"/>
    <w:pPr>
      <w:widowControl w:val="0"/>
      <w:tabs>
        <w:tab w:val="center" w:pos="4153"/>
        <w:tab w:val="right" w:pos="8306"/>
      </w:tabs>
    </w:pPr>
    <w:rPr>
      <w:sz w:val="20"/>
      <w:szCs w:val="20"/>
    </w:rPr>
  </w:style>
  <w:style w:type="paragraph" w:styleId="21">
    <w:name w:val="List"/>
    <w:basedOn w:val="18"/>
    <w:uiPriority w:val="0"/>
    <w:pPr>
      <w:suppressAutoHyphens/>
      <w:jc w:val="both"/>
    </w:pPr>
    <w:rPr>
      <w:rFonts w:cs="Mangal"/>
      <w:sz w:val="24"/>
      <w:szCs w:val="24"/>
      <w:lang w:eastAsia="zh-CN"/>
    </w:rPr>
  </w:style>
  <w:style w:type="paragraph" w:styleId="22">
    <w:name w:val="Normal (Web)"/>
    <w:basedOn w:val="1"/>
    <w:uiPriority w:val="0"/>
    <w:pPr>
      <w:spacing w:before="100" w:beforeAutospacing="1" w:after="100" w:afterAutospacing="1"/>
    </w:pPr>
    <w:rPr>
      <w:rFonts w:ascii="Arial Unicode MS" w:hAnsi="Arial Unicode MS" w:eastAsia="Arial Unicode MS" w:cs="Arial Unicode MS"/>
      <w:color w:val="000000"/>
    </w:rPr>
  </w:style>
  <w:style w:type="paragraph" w:styleId="23">
    <w:name w:val="Body Text Indent 2"/>
    <w:basedOn w:val="1"/>
    <w:link w:val="53"/>
    <w:uiPriority w:val="99"/>
    <w:pPr>
      <w:tabs>
        <w:tab w:val="left" w:pos="709"/>
      </w:tabs>
      <w:ind w:firstLine="567"/>
      <w:jc w:val="both"/>
    </w:pPr>
    <w:rPr>
      <w:sz w:val="20"/>
      <w:szCs w:val="20"/>
    </w:rPr>
  </w:style>
  <w:style w:type="paragraph" w:styleId="24">
    <w:name w:val="HTML Preformatted"/>
    <w:basedOn w:val="1"/>
    <w:link w:val="86"/>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26">
    <w:name w:val="footnote reference"/>
    <w:uiPriority w:val="0"/>
    <w:rPr>
      <w:vertAlign w:val="superscript"/>
    </w:rPr>
  </w:style>
  <w:style w:type="character" w:styleId="27">
    <w:name w:val="Emphasis"/>
    <w:qFormat/>
    <w:uiPriority w:val="0"/>
    <w:rPr>
      <w:rFonts w:cs="Times New Roman"/>
      <w:i/>
      <w:iCs/>
    </w:rPr>
  </w:style>
  <w:style w:type="character" w:styleId="28">
    <w:name w:val="Hyperlink"/>
    <w:basedOn w:val="25"/>
    <w:unhideWhenUsed/>
    <w:uiPriority w:val="0"/>
    <w:rPr>
      <w:color w:val="0000FF"/>
      <w:u w:val="single"/>
    </w:rPr>
  </w:style>
  <w:style w:type="character" w:styleId="29">
    <w:name w:val="page number"/>
    <w:uiPriority w:val="99"/>
  </w:style>
  <w:style w:type="table" w:styleId="31">
    <w:name w:val="Table Grid"/>
    <w:basedOn w:val="30"/>
    <w:uiPriority w:val="0"/>
    <w:pPr>
      <w:spacing w:after="0" w:line="240" w:lineRule="auto"/>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2">
    <w:name w:val="Обычный1"/>
    <w:uiPriority w:val="0"/>
    <w:pPr>
      <w:spacing w:after="0" w:line="240" w:lineRule="auto"/>
    </w:pPr>
    <w:rPr>
      <w:rFonts w:ascii="Times New Roman" w:hAnsi="Times New Roman" w:eastAsia="Times New Roman" w:cs="Times New Roman"/>
      <w:sz w:val="24"/>
      <w:szCs w:val="20"/>
      <w:lang w:val="ru-RU" w:eastAsia="ru-RU" w:bidi="ar-SA"/>
    </w:rPr>
  </w:style>
  <w:style w:type="paragraph" w:customStyle="1" w:styleId="33">
    <w:name w:val="Заголовок 61"/>
    <w:basedOn w:val="32"/>
    <w:next w:val="32"/>
    <w:uiPriority w:val="0"/>
    <w:pPr>
      <w:keepNext/>
      <w:outlineLvl w:val="5"/>
    </w:pPr>
    <w:rPr>
      <w:b/>
    </w:rPr>
  </w:style>
  <w:style w:type="paragraph" w:customStyle="1" w:styleId="34">
    <w:name w:val="Комментарий"/>
    <w:basedOn w:val="1"/>
    <w:next w:val="1"/>
    <w:uiPriority w:val="0"/>
    <w:pPr>
      <w:widowControl w:val="0"/>
      <w:suppressAutoHyphens/>
      <w:autoSpaceDE w:val="0"/>
      <w:ind w:left="170"/>
      <w:jc w:val="both"/>
    </w:pPr>
    <w:rPr>
      <w:rFonts w:ascii="Arial" w:hAnsi="Arial" w:cs="Arial"/>
      <w:i/>
      <w:iCs/>
      <w:color w:val="800080"/>
      <w:sz w:val="20"/>
      <w:szCs w:val="20"/>
      <w:lang w:eastAsia="ar-SA"/>
    </w:rPr>
  </w:style>
  <w:style w:type="character" w:customStyle="1" w:styleId="35">
    <w:name w:val="Текст выноски Знак"/>
    <w:basedOn w:val="25"/>
    <w:link w:val="10"/>
    <w:uiPriority w:val="0"/>
    <w:rPr>
      <w:rFonts w:ascii="Tahoma" w:hAnsi="Tahoma" w:eastAsia="Times New Roman" w:cs="Tahoma"/>
      <w:sz w:val="16"/>
      <w:szCs w:val="16"/>
      <w:lang w:eastAsia="ru-RU"/>
    </w:rPr>
  </w:style>
  <w:style w:type="character" w:customStyle="1" w:styleId="36">
    <w:name w:val="Заголовок 1 Знак"/>
    <w:basedOn w:val="25"/>
    <w:link w:val="2"/>
    <w:qFormat/>
    <w:uiPriority w:val="0"/>
    <w:rPr>
      <w:rFonts w:ascii="Times New Roman" w:hAnsi="Times New Roman" w:eastAsia="Times New Roman" w:cs="Times New Roman"/>
      <w:sz w:val="24"/>
      <w:szCs w:val="24"/>
      <w:lang w:eastAsia="ru-RU"/>
    </w:rPr>
  </w:style>
  <w:style w:type="character" w:customStyle="1" w:styleId="37">
    <w:name w:val="Заголовок 2 Знак"/>
    <w:basedOn w:val="25"/>
    <w:link w:val="3"/>
    <w:uiPriority w:val="99"/>
    <w:rPr>
      <w:rFonts w:ascii="Times New Roman" w:hAnsi="Times New Roman" w:eastAsia="Times New Roman" w:cs="Times New Roman"/>
      <w:sz w:val="24"/>
      <w:szCs w:val="24"/>
      <w:lang w:eastAsia="ru-RU"/>
    </w:rPr>
  </w:style>
  <w:style w:type="character" w:customStyle="1" w:styleId="38">
    <w:name w:val="Заголовок 3 Знак"/>
    <w:basedOn w:val="25"/>
    <w:link w:val="4"/>
    <w:uiPriority w:val="0"/>
    <w:rPr>
      <w:rFonts w:ascii="Times New Roman" w:hAnsi="Times New Roman" w:eastAsia="Times New Roman" w:cs="Times New Roman"/>
      <w:b/>
      <w:bCs/>
      <w:sz w:val="40"/>
      <w:szCs w:val="40"/>
      <w:lang w:eastAsia="ru-RU"/>
    </w:rPr>
  </w:style>
  <w:style w:type="character" w:customStyle="1" w:styleId="39">
    <w:name w:val="Заголовок 4 Знак"/>
    <w:basedOn w:val="25"/>
    <w:link w:val="5"/>
    <w:uiPriority w:val="99"/>
    <w:rPr>
      <w:rFonts w:ascii="Times New Roman" w:hAnsi="Times New Roman" w:eastAsia="Times New Roman" w:cs="Times New Roman"/>
      <w:sz w:val="28"/>
      <w:szCs w:val="28"/>
      <w:lang w:eastAsia="ru-RU"/>
    </w:rPr>
  </w:style>
  <w:style w:type="character" w:customStyle="1" w:styleId="40">
    <w:name w:val="Заголовок 6 Знак"/>
    <w:basedOn w:val="25"/>
    <w:link w:val="6"/>
    <w:qFormat/>
    <w:uiPriority w:val="99"/>
    <w:rPr>
      <w:rFonts w:ascii="PetersburgCTT" w:hAnsi="PetersburgCTT" w:eastAsia="Times New Roman" w:cs="Times New Roman"/>
      <w:i/>
      <w:iCs/>
    </w:rPr>
  </w:style>
  <w:style w:type="character" w:customStyle="1" w:styleId="41">
    <w:name w:val="Заголовок 7 Знак"/>
    <w:basedOn w:val="25"/>
    <w:link w:val="7"/>
    <w:qFormat/>
    <w:uiPriority w:val="99"/>
    <w:rPr>
      <w:rFonts w:ascii="PetersburgCTT" w:hAnsi="PetersburgCTT" w:eastAsia="Times New Roman" w:cs="Times New Roman"/>
    </w:rPr>
  </w:style>
  <w:style w:type="character" w:customStyle="1" w:styleId="42">
    <w:name w:val="Заголовок 8 Знак"/>
    <w:basedOn w:val="25"/>
    <w:link w:val="8"/>
    <w:qFormat/>
    <w:uiPriority w:val="99"/>
    <w:rPr>
      <w:rFonts w:ascii="PetersburgCTT" w:hAnsi="PetersburgCTT" w:eastAsia="Times New Roman" w:cs="Times New Roman"/>
      <w:i/>
      <w:iCs/>
    </w:rPr>
  </w:style>
  <w:style w:type="character" w:customStyle="1" w:styleId="43">
    <w:name w:val="Заголовок 9 Знак"/>
    <w:basedOn w:val="25"/>
    <w:link w:val="9"/>
    <w:uiPriority w:val="99"/>
    <w:rPr>
      <w:rFonts w:ascii="PetersburgCTT" w:hAnsi="PetersburgCTT" w:eastAsia="Times New Roman" w:cs="Times New Roman"/>
      <w:i/>
      <w:iCs/>
      <w:sz w:val="18"/>
      <w:szCs w:val="18"/>
    </w:rPr>
  </w:style>
  <w:style w:type="character" w:customStyle="1" w:styleId="44">
    <w:name w:val="Верхний колонтитул Знак"/>
    <w:basedOn w:val="25"/>
    <w:link w:val="17"/>
    <w:uiPriority w:val="99"/>
    <w:rPr>
      <w:rFonts w:ascii="Times New Roman" w:hAnsi="Times New Roman" w:eastAsia="Times New Roman" w:cs="Times New Roman"/>
      <w:sz w:val="20"/>
      <w:szCs w:val="20"/>
      <w:lang w:eastAsia="ru-RU"/>
    </w:rPr>
  </w:style>
  <w:style w:type="character" w:customStyle="1" w:styleId="45">
    <w:name w:val="Нижний колонтитул Знак"/>
    <w:basedOn w:val="25"/>
    <w:link w:val="20"/>
    <w:uiPriority w:val="99"/>
    <w:rPr>
      <w:rFonts w:ascii="Times New Roman" w:hAnsi="Times New Roman" w:eastAsia="Times New Roman" w:cs="Times New Roman"/>
      <w:sz w:val="20"/>
      <w:szCs w:val="20"/>
      <w:lang w:eastAsia="ru-RU"/>
    </w:rPr>
  </w:style>
  <w:style w:type="character" w:customStyle="1" w:styleId="46">
    <w:name w:val="Document Map Char"/>
    <w:locked/>
    <w:uiPriority w:val="99"/>
    <w:rPr>
      <w:rFonts w:ascii="Tahoma" w:hAnsi="Tahoma" w:cs="Tahoma"/>
      <w:shd w:val="clear" w:color="auto" w:fill="000080"/>
    </w:rPr>
  </w:style>
  <w:style w:type="character" w:customStyle="1" w:styleId="47">
    <w:name w:val="Схема документа Знак"/>
    <w:basedOn w:val="25"/>
    <w:link w:val="15"/>
    <w:semiHidden/>
    <w:uiPriority w:val="99"/>
    <w:rPr>
      <w:rFonts w:ascii="Times New Roman" w:hAnsi="Times New Roman" w:eastAsia="Times New Roman" w:cs="Times New Roman"/>
      <w:sz w:val="2"/>
      <w:szCs w:val="2"/>
      <w:shd w:val="clear" w:color="auto" w:fill="000080"/>
      <w:lang w:eastAsia="ru-RU"/>
    </w:rPr>
  </w:style>
  <w:style w:type="character" w:customStyle="1" w:styleId="48">
    <w:name w:val="Footnote Text Char"/>
    <w:locked/>
    <w:uiPriority w:val="99"/>
  </w:style>
  <w:style w:type="character" w:customStyle="1" w:styleId="49">
    <w:name w:val="Текст сноски Знак"/>
    <w:basedOn w:val="25"/>
    <w:link w:val="16"/>
    <w:uiPriority w:val="0"/>
    <w:rPr>
      <w:rFonts w:ascii="Times New Roman" w:hAnsi="Times New Roman" w:eastAsia="Times New Roman" w:cs="Times New Roman"/>
      <w:sz w:val="20"/>
      <w:szCs w:val="20"/>
      <w:lang w:eastAsia="ru-RU"/>
    </w:rPr>
  </w:style>
  <w:style w:type="character" w:customStyle="1" w:styleId="50">
    <w:name w:val="Body Text Char"/>
    <w:locked/>
    <w:uiPriority w:val="99"/>
    <w:rPr>
      <w:b/>
      <w:bCs/>
      <w:sz w:val="40"/>
      <w:szCs w:val="40"/>
      <w:u w:val="single"/>
    </w:rPr>
  </w:style>
  <w:style w:type="character" w:customStyle="1" w:styleId="51">
    <w:name w:val="Основной текст Знак"/>
    <w:basedOn w:val="25"/>
    <w:link w:val="18"/>
    <w:uiPriority w:val="0"/>
    <w:rPr>
      <w:rFonts w:ascii="Times New Roman" w:hAnsi="Times New Roman" w:eastAsia="Times New Roman" w:cs="Times New Roman"/>
      <w:sz w:val="20"/>
      <w:szCs w:val="20"/>
      <w:lang w:eastAsia="ru-RU"/>
    </w:rPr>
  </w:style>
  <w:style w:type="character" w:customStyle="1" w:styleId="52">
    <w:name w:val="Body Text Indent 2 Char"/>
    <w:locked/>
    <w:uiPriority w:val="99"/>
    <w:rPr>
      <w:sz w:val="28"/>
      <w:szCs w:val="28"/>
    </w:rPr>
  </w:style>
  <w:style w:type="character" w:customStyle="1" w:styleId="53">
    <w:name w:val="Основной текст с отступом 2 Знак"/>
    <w:basedOn w:val="25"/>
    <w:link w:val="23"/>
    <w:uiPriority w:val="99"/>
    <w:rPr>
      <w:rFonts w:ascii="Times New Roman" w:hAnsi="Times New Roman" w:eastAsia="Times New Roman" w:cs="Times New Roman"/>
      <w:sz w:val="20"/>
      <w:szCs w:val="20"/>
      <w:lang w:eastAsia="ru-RU"/>
    </w:rPr>
  </w:style>
  <w:style w:type="paragraph" w:customStyle="1" w:styleId="54">
    <w:name w:val="Без интервала1"/>
    <w:link w:val="55"/>
    <w:uiPriority w:val="99"/>
    <w:pPr>
      <w:suppressAutoHyphens/>
      <w:spacing w:after="0" w:line="240" w:lineRule="auto"/>
    </w:pPr>
    <w:rPr>
      <w:rFonts w:ascii="Calibri" w:hAnsi="Calibri" w:eastAsia="Times New Roman" w:cs="Calibri"/>
      <w:sz w:val="22"/>
      <w:szCs w:val="22"/>
      <w:lang w:val="ru-RU" w:eastAsia="ar-SA" w:bidi="ar-SA"/>
    </w:rPr>
  </w:style>
  <w:style w:type="character" w:customStyle="1" w:styleId="55">
    <w:name w:val="Без интервала Знак"/>
    <w:link w:val="54"/>
    <w:locked/>
    <w:uiPriority w:val="99"/>
    <w:rPr>
      <w:rFonts w:ascii="Calibri" w:hAnsi="Calibri" w:eastAsia="Times New Roman" w:cs="Calibri"/>
      <w:lang w:eastAsia="ar-SA"/>
    </w:rPr>
  </w:style>
  <w:style w:type="character" w:customStyle="1" w:styleId="56">
    <w:name w:val="Body Text Indent 3 Char"/>
    <w:qFormat/>
    <w:locked/>
    <w:uiPriority w:val="99"/>
    <w:rPr>
      <w:sz w:val="16"/>
      <w:szCs w:val="16"/>
    </w:rPr>
  </w:style>
  <w:style w:type="character" w:customStyle="1" w:styleId="57">
    <w:name w:val="Основной текст с отступом 3 Знак"/>
    <w:basedOn w:val="25"/>
    <w:link w:val="11"/>
    <w:uiPriority w:val="99"/>
    <w:rPr>
      <w:rFonts w:ascii="Times New Roman" w:hAnsi="Times New Roman" w:eastAsia="Times New Roman" w:cs="Times New Roman"/>
      <w:sz w:val="16"/>
      <w:szCs w:val="16"/>
      <w:lang w:eastAsia="ru-RU"/>
    </w:rPr>
  </w:style>
  <w:style w:type="character" w:customStyle="1" w:styleId="58">
    <w:name w:val="Body Text Indent Char"/>
    <w:locked/>
    <w:uiPriority w:val="99"/>
  </w:style>
  <w:style w:type="character" w:customStyle="1" w:styleId="59">
    <w:name w:val="Основной текст с отступом Знак"/>
    <w:basedOn w:val="25"/>
    <w:link w:val="19"/>
    <w:uiPriority w:val="99"/>
    <w:rPr>
      <w:rFonts w:ascii="Times New Roman" w:hAnsi="Times New Roman" w:eastAsia="Times New Roman" w:cs="Times New Roman"/>
      <w:sz w:val="20"/>
      <w:szCs w:val="20"/>
      <w:lang w:eastAsia="ru-RU"/>
    </w:rPr>
  </w:style>
  <w:style w:type="character" w:customStyle="1" w:styleId="60">
    <w:name w:val="Основной текст (2)_"/>
    <w:link w:val="61"/>
    <w:locked/>
    <w:uiPriority w:val="99"/>
    <w:rPr>
      <w:sz w:val="26"/>
      <w:szCs w:val="26"/>
      <w:shd w:val="clear" w:color="auto" w:fill="FFFFFF"/>
    </w:rPr>
  </w:style>
  <w:style w:type="paragraph" w:customStyle="1" w:styleId="61">
    <w:name w:val="Основной текст (2)"/>
    <w:basedOn w:val="1"/>
    <w:link w:val="60"/>
    <w:uiPriority w:val="99"/>
    <w:pPr>
      <w:shd w:val="clear" w:color="auto" w:fill="FFFFFF"/>
      <w:spacing w:before="420" w:after="600" w:line="322" w:lineRule="exact"/>
      <w:jc w:val="center"/>
    </w:pPr>
    <w:rPr>
      <w:rFonts w:asciiTheme="minorHAnsi" w:hAnsiTheme="minorHAnsi" w:eastAsiaTheme="minorHAnsi" w:cstheme="minorBidi"/>
      <w:sz w:val="26"/>
      <w:szCs w:val="26"/>
      <w:shd w:val="clear" w:color="auto" w:fill="FFFFFF"/>
      <w:lang w:eastAsia="en-US"/>
    </w:rPr>
  </w:style>
  <w:style w:type="character" w:customStyle="1" w:styleId="62">
    <w:name w:val="Comment Text Char"/>
    <w:locked/>
    <w:uiPriority w:val="99"/>
  </w:style>
  <w:style w:type="character" w:customStyle="1" w:styleId="63">
    <w:name w:val="Текст примечания Знак"/>
    <w:basedOn w:val="25"/>
    <w:link w:val="13"/>
    <w:semiHidden/>
    <w:uiPriority w:val="99"/>
    <w:rPr>
      <w:rFonts w:ascii="Times New Roman" w:hAnsi="Times New Roman" w:eastAsia="Times New Roman" w:cs="Times New Roman"/>
      <w:sz w:val="20"/>
      <w:szCs w:val="20"/>
      <w:lang w:eastAsia="ru-RU"/>
    </w:rPr>
  </w:style>
  <w:style w:type="character" w:customStyle="1" w:styleId="64">
    <w:name w:val="Comment Subject Char"/>
    <w:locked/>
    <w:uiPriority w:val="99"/>
    <w:rPr>
      <w:b/>
      <w:bCs/>
    </w:rPr>
  </w:style>
  <w:style w:type="character" w:customStyle="1" w:styleId="65">
    <w:name w:val="Тема примечания Знак"/>
    <w:basedOn w:val="63"/>
    <w:link w:val="14"/>
    <w:semiHidden/>
    <w:uiPriority w:val="99"/>
    <w:rPr>
      <w:b/>
      <w:bCs/>
    </w:rPr>
  </w:style>
  <w:style w:type="paragraph" w:customStyle="1" w:styleId="66">
    <w:name w:val="ConsPlusNormal"/>
    <w:uiPriority w:val="0"/>
    <w:pPr>
      <w:widowControl w:val="0"/>
      <w:autoSpaceDE w:val="0"/>
      <w:autoSpaceDN w:val="0"/>
      <w:spacing w:after="0" w:line="240" w:lineRule="auto"/>
    </w:pPr>
    <w:rPr>
      <w:rFonts w:ascii="Calibri" w:hAnsi="Calibri" w:eastAsia="Times New Roman" w:cs="Calibri"/>
      <w:sz w:val="22"/>
      <w:szCs w:val="22"/>
      <w:lang w:val="ru-RU" w:eastAsia="ru-RU" w:bidi="ar-SA"/>
    </w:rPr>
  </w:style>
  <w:style w:type="character" w:customStyle="1" w:styleId="67">
    <w:name w:val="Основной шрифт абзаца1"/>
    <w:uiPriority w:val="0"/>
    <w:rPr>
      <w:sz w:val="20"/>
    </w:rPr>
  </w:style>
  <w:style w:type="paragraph" w:customStyle="1" w:styleId="68">
    <w:name w:val="ConsPlusTitle"/>
    <w:uiPriority w:val="0"/>
    <w:pPr>
      <w:autoSpaceDE w:val="0"/>
      <w:autoSpaceDN w:val="0"/>
      <w:adjustRightInd w:val="0"/>
      <w:spacing w:after="0" w:line="240" w:lineRule="auto"/>
    </w:pPr>
    <w:rPr>
      <w:rFonts w:ascii="Arial" w:hAnsi="Arial" w:eastAsia="Times New Roman" w:cs="Arial"/>
      <w:b/>
      <w:bCs/>
      <w:sz w:val="20"/>
      <w:szCs w:val="20"/>
      <w:lang w:val="ru-RU" w:eastAsia="ru-RU" w:bidi="ar-SA"/>
    </w:rPr>
  </w:style>
  <w:style w:type="paragraph" w:customStyle="1" w:styleId="69">
    <w:name w:val="ConsPlusNonformat"/>
    <w:uiPriority w:val="0"/>
    <w:pPr>
      <w:widowControl w:val="0"/>
      <w:autoSpaceDE w:val="0"/>
      <w:autoSpaceDN w:val="0"/>
      <w:adjustRightInd w:val="0"/>
      <w:spacing w:after="0" w:line="240" w:lineRule="auto"/>
    </w:pPr>
    <w:rPr>
      <w:rFonts w:ascii="Courier New" w:hAnsi="Courier New" w:eastAsia="Times New Roman" w:cs="Courier New"/>
      <w:sz w:val="20"/>
      <w:szCs w:val="20"/>
      <w:lang w:val="ru-RU" w:eastAsia="ru-RU" w:bidi="ar-SA"/>
    </w:rPr>
  </w:style>
  <w:style w:type="paragraph" w:customStyle="1" w:styleId="70">
    <w:name w:val="ConsPlusCell"/>
    <w:uiPriority w:val="0"/>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paragraph" w:customStyle="1" w:styleId="71">
    <w:name w:val="ConsNormal"/>
    <w:uiPriority w:val="0"/>
    <w:pPr>
      <w:widowControl w:val="0"/>
      <w:autoSpaceDE w:val="0"/>
      <w:autoSpaceDN w:val="0"/>
      <w:adjustRightInd w:val="0"/>
      <w:spacing w:after="0" w:line="240" w:lineRule="auto"/>
      <w:ind w:right="19772" w:firstLine="720"/>
    </w:pPr>
    <w:rPr>
      <w:rFonts w:ascii="Arial" w:hAnsi="Arial" w:eastAsia="Times New Roman" w:cs="Arial"/>
      <w:sz w:val="20"/>
      <w:szCs w:val="20"/>
      <w:lang w:val="ru-RU" w:eastAsia="ru-RU" w:bidi="ar-SA"/>
    </w:rPr>
  </w:style>
  <w:style w:type="paragraph" w:customStyle="1" w:styleId="72">
    <w:name w:val="Обычный11"/>
    <w:uiPriority w:val="0"/>
    <w:pPr>
      <w:spacing w:after="0" w:line="240" w:lineRule="auto"/>
    </w:pPr>
    <w:rPr>
      <w:rFonts w:ascii="Times New Roman" w:hAnsi="Times New Roman" w:eastAsia="Times New Roman" w:cs="Times New Roman"/>
      <w:sz w:val="20"/>
      <w:szCs w:val="20"/>
      <w:lang w:val="ru-RU" w:eastAsia="ru-RU" w:bidi="ar-SA"/>
    </w:rPr>
  </w:style>
  <w:style w:type="paragraph" w:customStyle="1" w:styleId="73">
    <w:name w:val="Знак Знак2 Char Char Знак Знак Char Char Знак Знак Char Char Знак Знак Char Char Знак Знак Char Char Знак Знак Char Char Знак Знак Char Char Знак Знак Char Char"/>
    <w:basedOn w:val="1"/>
    <w:qFormat/>
    <w:uiPriority w:val="0"/>
    <w:pPr>
      <w:spacing w:before="100" w:beforeAutospacing="1" w:after="100" w:afterAutospacing="1"/>
    </w:pPr>
    <w:rPr>
      <w:rFonts w:ascii="Tahoma" w:hAnsi="Tahoma"/>
      <w:sz w:val="20"/>
      <w:szCs w:val="20"/>
      <w:lang w:val="en-US" w:eastAsia="en-US"/>
    </w:rPr>
  </w:style>
  <w:style w:type="paragraph" w:customStyle="1" w:styleId="74">
    <w:name w:val="Defaul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paragraph" w:customStyle="1" w:styleId="75">
    <w:name w:val="Знак Знак12 Знак Знак Знак Знак"/>
    <w:basedOn w:val="1"/>
    <w:qFormat/>
    <w:uiPriority w:val="0"/>
    <w:pPr>
      <w:widowControl w:val="0"/>
      <w:tabs>
        <w:tab w:val="left" w:pos="1315"/>
      </w:tabs>
      <w:adjustRightInd w:val="0"/>
      <w:spacing w:after="160" w:line="240" w:lineRule="exact"/>
      <w:ind w:left="1315" w:hanging="180"/>
      <w:jc w:val="center"/>
    </w:pPr>
    <w:rPr>
      <w:b/>
      <w:i/>
      <w:sz w:val="28"/>
      <w:szCs w:val="20"/>
      <w:lang w:val="en-GB" w:eastAsia="en-US"/>
    </w:rPr>
  </w:style>
  <w:style w:type="paragraph" w:styleId="76">
    <w:name w:val="List Paragraph"/>
    <w:basedOn w:val="1"/>
    <w:qFormat/>
    <w:uiPriority w:val="34"/>
    <w:pPr>
      <w:widowControl w:val="0"/>
      <w:ind w:left="720"/>
      <w:contextualSpacing/>
    </w:pPr>
    <w:rPr>
      <w:sz w:val="20"/>
      <w:szCs w:val="20"/>
    </w:rPr>
  </w:style>
  <w:style w:type="character" w:customStyle="1" w:styleId="77">
    <w:name w:val="Основной текст_"/>
    <w:basedOn w:val="25"/>
    <w:link w:val="78"/>
    <w:uiPriority w:val="0"/>
    <w:rPr>
      <w:sz w:val="27"/>
      <w:szCs w:val="27"/>
      <w:shd w:val="clear" w:color="auto" w:fill="FFFFFF"/>
    </w:rPr>
  </w:style>
  <w:style w:type="paragraph" w:customStyle="1" w:styleId="78">
    <w:name w:val="Основной текст2"/>
    <w:basedOn w:val="1"/>
    <w:link w:val="77"/>
    <w:uiPriority w:val="0"/>
    <w:pPr>
      <w:widowControl w:val="0"/>
      <w:shd w:val="clear" w:color="auto" w:fill="FFFFFF"/>
      <w:spacing w:before="720" w:line="384" w:lineRule="exact"/>
      <w:ind w:hanging="460"/>
      <w:jc w:val="both"/>
    </w:pPr>
    <w:rPr>
      <w:rFonts w:asciiTheme="minorHAnsi" w:hAnsiTheme="minorHAnsi" w:eastAsiaTheme="minorHAnsi" w:cstheme="minorBidi"/>
      <w:sz w:val="27"/>
      <w:szCs w:val="27"/>
      <w:lang w:eastAsia="en-US"/>
    </w:rPr>
  </w:style>
  <w:style w:type="character" w:customStyle="1" w:styleId="79">
    <w:name w:val="Основной текст Exact"/>
    <w:basedOn w:val="25"/>
    <w:uiPriority w:val="0"/>
    <w:rPr>
      <w:rFonts w:ascii="Times New Roman" w:hAnsi="Times New Roman" w:eastAsia="Times New Roman" w:cs="Times New Roman"/>
      <w:sz w:val="26"/>
      <w:szCs w:val="26"/>
      <w:u w:val="none"/>
    </w:rPr>
  </w:style>
  <w:style w:type="paragraph" w:customStyle="1" w:styleId="80">
    <w:name w:val="Основной текст 31"/>
    <w:basedOn w:val="1"/>
    <w:uiPriority w:val="0"/>
    <w:pPr>
      <w:suppressAutoHyphens/>
      <w:spacing w:after="120" w:line="100" w:lineRule="atLeast"/>
    </w:pPr>
    <w:rPr>
      <w:kern w:val="1"/>
      <w:sz w:val="16"/>
      <w:szCs w:val="16"/>
      <w:lang w:eastAsia="zh-CN"/>
    </w:rPr>
  </w:style>
  <w:style w:type="paragraph" w:customStyle="1" w:styleId="81">
    <w:name w:val="Текст в заданном формате"/>
    <w:basedOn w:val="1"/>
    <w:uiPriority w:val="0"/>
    <w:pPr>
      <w:suppressAutoHyphens/>
    </w:pPr>
    <w:rPr>
      <w:rFonts w:ascii="Courier New" w:hAnsi="Courier New" w:eastAsia="NSimSun" w:cs="Courier New"/>
      <w:kern w:val="1"/>
      <w:sz w:val="20"/>
      <w:szCs w:val="20"/>
      <w:lang w:eastAsia="zh-CN"/>
    </w:rPr>
  </w:style>
  <w:style w:type="paragraph" w:customStyle="1" w:styleId="82">
    <w:name w:val="Обычный2"/>
    <w:uiPriority w:val="0"/>
    <w:pPr>
      <w:spacing w:after="0" w:line="240" w:lineRule="auto"/>
    </w:pPr>
    <w:rPr>
      <w:rFonts w:ascii="Times New Roman" w:hAnsi="Times New Roman" w:eastAsia="Times New Roman" w:cs="Times New Roman"/>
      <w:sz w:val="24"/>
      <w:szCs w:val="20"/>
      <w:lang w:val="ru-RU" w:eastAsia="ru-RU" w:bidi="ar-SA"/>
    </w:rPr>
  </w:style>
  <w:style w:type="paragraph" w:customStyle="1" w:styleId="83">
    <w:name w:val="Заголовок 611"/>
    <w:basedOn w:val="82"/>
    <w:next w:val="82"/>
    <w:uiPriority w:val="0"/>
    <w:pPr>
      <w:keepNext/>
      <w:outlineLvl w:val="5"/>
    </w:pPr>
    <w:rPr>
      <w:b/>
    </w:rPr>
  </w:style>
  <w:style w:type="paragraph" w:styleId="84">
    <w:name w:val="No Spacing"/>
    <w:qFormat/>
    <w:uiPriority w:val="1"/>
    <w:pPr>
      <w:widowControl w:val="0"/>
      <w:suppressAutoHyphens/>
      <w:autoSpaceDE w:val="0"/>
      <w:spacing w:after="0" w:line="240" w:lineRule="auto"/>
      <w:ind w:firstLine="720"/>
      <w:jc w:val="both"/>
    </w:pPr>
    <w:rPr>
      <w:rFonts w:ascii="Arial" w:hAnsi="Arial" w:eastAsia="Times New Roman" w:cs="Arial"/>
      <w:sz w:val="20"/>
      <w:szCs w:val="20"/>
      <w:lang w:val="ru-RU" w:eastAsia="ar-SA" w:bidi="ar-SA"/>
    </w:rPr>
  </w:style>
  <w:style w:type="paragraph" w:customStyle="1" w:styleId="85">
    <w:name w:val="Основной текст 21"/>
    <w:basedOn w:val="1"/>
    <w:uiPriority w:val="0"/>
    <w:pPr>
      <w:widowControl w:val="0"/>
      <w:suppressAutoHyphens/>
      <w:autoSpaceDE w:val="0"/>
      <w:ind w:firstLine="720"/>
      <w:jc w:val="both"/>
    </w:pPr>
    <w:rPr>
      <w:rFonts w:ascii="Arial" w:hAnsi="Arial" w:cs="Arial"/>
      <w:sz w:val="22"/>
      <w:szCs w:val="22"/>
      <w:lang w:eastAsia="ar-SA"/>
    </w:rPr>
  </w:style>
  <w:style w:type="character" w:customStyle="1" w:styleId="86">
    <w:name w:val="Стандартный HTML Знак"/>
    <w:basedOn w:val="25"/>
    <w:link w:val="24"/>
    <w:uiPriority w:val="99"/>
    <w:rPr>
      <w:rFonts w:ascii="Courier New" w:hAnsi="Courier New" w:eastAsia="Times New Roman" w:cs="Courier New"/>
      <w:sz w:val="20"/>
      <w:szCs w:val="20"/>
      <w:lang w:eastAsia="ru-RU"/>
    </w:rPr>
  </w:style>
  <w:style w:type="paragraph" w:customStyle="1" w:styleId="87">
    <w:name w:val="Текст1"/>
    <w:basedOn w:val="1"/>
    <w:uiPriority w:val="0"/>
    <w:pPr>
      <w:suppressAutoHyphens/>
    </w:pPr>
    <w:rPr>
      <w:rFonts w:ascii="Courier New" w:hAnsi="Courier New" w:cs="Courier New"/>
      <w:sz w:val="20"/>
      <w:szCs w:val="20"/>
      <w:lang w:eastAsia="zh-CN"/>
    </w:rPr>
  </w:style>
  <w:style w:type="paragraph" w:customStyle="1" w:styleId="88">
    <w:name w:val="p13"/>
    <w:basedOn w:val="1"/>
    <w:uiPriority w:val="0"/>
    <w:pPr>
      <w:spacing w:before="100" w:beforeAutospacing="1" w:after="100" w:afterAutospacing="1"/>
    </w:pPr>
  </w:style>
  <w:style w:type="character" w:customStyle="1" w:styleId="89">
    <w:name w:val="s5"/>
    <w:basedOn w:val="25"/>
    <w:uiPriority w:val="0"/>
  </w:style>
  <w:style w:type="character" w:customStyle="1" w:styleId="90">
    <w:name w:val="s1"/>
    <w:basedOn w:val="25"/>
    <w:uiPriority w:val="0"/>
  </w:style>
  <w:style w:type="paragraph" w:customStyle="1" w:styleId="91">
    <w:name w:val="p8"/>
    <w:basedOn w:val="1"/>
    <w:uiPriority w:val="0"/>
    <w:pPr>
      <w:spacing w:before="100" w:beforeAutospacing="1" w:after="100" w:afterAutospacing="1"/>
    </w:pPr>
  </w:style>
  <w:style w:type="character" w:customStyle="1" w:styleId="92">
    <w:name w:val="s4"/>
    <w:basedOn w:val="25"/>
    <w:uiPriority w:val="0"/>
  </w:style>
  <w:style w:type="paragraph" w:customStyle="1" w:styleId="93">
    <w:name w:val="Абзац списка1"/>
    <w:basedOn w:val="1"/>
    <w:uiPriority w:val="0"/>
    <w:pPr>
      <w:spacing w:after="200" w:line="276" w:lineRule="auto"/>
      <w:ind w:left="720"/>
    </w:pPr>
    <w:rPr>
      <w:rFonts w:ascii="Calibri" w:hAnsi="Calibri" w:cs="Calibri"/>
      <w:sz w:val="22"/>
      <w:szCs w:val="22"/>
      <w:lang w:eastAsia="zh-CN"/>
    </w:rPr>
  </w:style>
  <w:style w:type="paragraph" w:customStyle="1" w:styleId="94">
    <w:name w:val="Объект"/>
    <w:basedOn w:val="1"/>
    <w:next w:val="1"/>
    <w:uiPriority w:val="0"/>
    <w:pPr>
      <w:widowControl w:val="0"/>
      <w:suppressAutoHyphens/>
      <w:autoSpaceDE w:val="0"/>
      <w:ind w:firstLine="720"/>
      <w:jc w:val="both"/>
    </w:pPr>
    <w:rPr>
      <w:rFonts w:ascii="Arial" w:hAnsi="Arial" w:cs="Arial"/>
      <w:sz w:val="20"/>
      <w:szCs w:val="20"/>
      <w:lang w:eastAsia="ar-SA"/>
    </w:rPr>
  </w:style>
  <w:style w:type="paragraph" w:customStyle="1" w:styleId="95">
    <w:name w:val="Таблицы (моноширинный)"/>
    <w:basedOn w:val="1"/>
    <w:next w:val="1"/>
    <w:uiPriority w:val="0"/>
    <w:pPr>
      <w:widowControl w:val="0"/>
      <w:suppressAutoHyphens/>
      <w:autoSpaceDE w:val="0"/>
      <w:jc w:val="both"/>
    </w:pPr>
    <w:rPr>
      <w:rFonts w:ascii="Courier New" w:hAnsi="Courier New" w:cs="Courier New"/>
      <w:sz w:val="20"/>
      <w:szCs w:val="20"/>
      <w:lang w:eastAsia="ar-SA"/>
    </w:rPr>
  </w:style>
  <w:style w:type="paragraph" w:customStyle="1" w:styleId="96">
    <w:name w:val="Основной текст с отступом 21"/>
    <w:basedOn w:val="1"/>
    <w:uiPriority w:val="0"/>
    <w:pPr>
      <w:widowControl w:val="0"/>
      <w:suppressAutoHyphens/>
      <w:autoSpaceDE w:val="0"/>
      <w:ind w:firstLine="720"/>
      <w:jc w:val="both"/>
    </w:pPr>
    <w:rPr>
      <w:rFonts w:ascii="Arial" w:hAnsi="Arial" w:cs="Arial"/>
      <w:sz w:val="28"/>
      <w:szCs w:val="28"/>
      <w:lang w:eastAsia="ar-SA"/>
    </w:rPr>
  </w:style>
  <w:style w:type="character" w:customStyle="1" w:styleId="97">
    <w:name w:val="Основной шрифт абзаца2"/>
    <w:uiPriority w:val="0"/>
  </w:style>
  <w:style w:type="character" w:customStyle="1" w:styleId="98">
    <w:name w:val="Absatz-Standardschriftart"/>
    <w:uiPriority w:val="0"/>
  </w:style>
  <w:style w:type="character" w:customStyle="1" w:styleId="99">
    <w:name w:val="WW-Absatz-Standardschriftart"/>
    <w:uiPriority w:val="0"/>
  </w:style>
  <w:style w:type="character" w:customStyle="1" w:styleId="100">
    <w:name w:val="WW-Absatz-Standardschriftart1"/>
    <w:qFormat/>
    <w:uiPriority w:val="0"/>
  </w:style>
  <w:style w:type="character" w:customStyle="1" w:styleId="101">
    <w:name w:val="WW-Absatz-Standardschriftart11"/>
    <w:qFormat/>
    <w:uiPriority w:val="0"/>
  </w:style>
  <w:style w:type="character" w:customStyle="1" w:styleId="102">
    <w:name w:val="WW-Absatz-Standardschriftart111"/>
    <w:qFormat/>
    <w:uiPriority w:val="0"/>
  </w:style>
  <w:style w:type="character" w:customStyle="1" w:styleId="103">
    <w:name w:val="WW-Absatz-Standardschriftart1111"/>
    <w:qFormat/>
    <w:uiPriority w:val="0"/>
  </w:style>
  <w:style w:type="character" w:customStyle="1" w:styleId="104">
    <w:name w:val="Цветовое выделение"/>
    <w:qFormat/>
    <w:uiPriority w:val="0"/>
    <w:rPr>
      <w:b/>
      <w:bCs/>
      <w:color w:val="000080"/>
      <w:sz w:val="26"/>
      <w:szCs w:val="26"/>
    </w:rPr>
  </w:style>
  <w:style w:type="character" w:customStyle="1" w:styleId="105">
    <w:name w:val="Не вступил в силу"/>
    <w:basedOn w:val="104"/>
    <w:qFormat/>
    <w:uiPriority w:val="0"/>
    <w:rPr>
      <w:color w:val="008080"/>
    </w:rPr>
  </w:style>
  <w:style w:type="paragraph" w:customStyle="1" w:styleId="106">
    <w:name w:val="Заголовок"/>
    <w:basedOn w:val="1"/>
    <w:next w:val="18"/>
    <w:uiPriority w:val="0"/>
    <w:pPr>
      <w:suppressAutoHyphens/>
      <w:jc w:val="center"/>
    </w:pPr>
    <w:rPr>
      <w:b/>
      <w:bCs/>
      <w:sz w:val="32"/>
      <w:lang w:eastAsia="zh-CN"/>
    </w:rPr>
  </w:style>
  <w:style w:type="paragraph" w:customStyle="1" w:styleId="107">
    <w:name w:val="Указатель2"/>
    <w:basedOn w:val="1"/>
    <w:uiPriority w:val="0"/>
    <w:pPr>
      <w:suppressLineNumbers/>
      <w:suppressAutoHyphens/>
    </w:pPr>
    <w:rPr>
      <w:rFonts w:cs="Mangal"/>
      <w:lang w:eastAsia="zh-CN"/>
    </w:rPr>
  </w:style>
  <w:style w:type="paragraph" w:customStyle="1" w:styleId="108">
    <w:name w:val="Название объекта1"/>
    <w:basedOn w:val="1"/>
    <w:uiPriority w:val="0"/>
    <w:pPr>
      <w:suppressLineNumbers/>
      <w:suppressAutoHyphens/>
      <w:spacing w:before="120" w:after="120"/>
    </w:pPr>
    <w:rPr>
      <w:rFonts w:cs="Mangal"/>
      <w:i/>
      <w:iCs/>
      <w:lang w:eastAsia="zh-CN"/>
    </w:rPr>
  </w:style>
  <w:style w:type="paragraph" w:customStyle="1" w:styleId="109">
    <w:name w:val="Указатель1"/>
    <w:basedOn w:val="1"/>
    <w:qFormat/>
    <w:uiPriority w:val="0"/>
    <w:pPr>
      <w:suppressLineNumbers/>
      <w:suppressAutoHyphens/>
    </w:pPr>
    <w:rPr>
      <w:rFonts w:cs="Mangal"/>
      <w:lang w:eastAsia="zh-CN"/>
    </w:rPr>
  </w:style>
  <w:style w:type="paragraph" w:customStyle="1" w:styleId="110">
    <w:name w:val="Текст (лев. подпись)"/>
    <w:basedOn w:val="1"/>
    <w:next w:val="1"/>
    <w:qFormat/>
    <w:uiPriority w:val="0"/>
    <w:pPr>
      <w:widowControl w:val="0"/>
      <w:suppressAutoHyphens/>
      <w:autoSpaceDE w:val="0"/>
    </w:pPr>
    <w:rPr>
      <w:rFonts w:ascii="Arial" w:hAnsi="Arial" w:cs="Arial"/>
      <w:sz w:val="26"/>
      <w:szCs w:val="26"/>
      <w:lang w:eastAsia="zh-CN"/>
    </w:rPr>
  </w:style>
  <w:style w:type="paragraph" w:customStyle="1" w:styleId="111">
    <w:name w:val="Текст (прав. подпись)"/>
    <w:basedOn w:val="1"/>
    <w:next w:val="1"/>
    <w:qFormat/>
    <w:uiPriority w:val="0"/>
    <w:pPr>
      <w:widowControl w:val="0"/>
      <w:suppressAutoHyphens/>
      <w:autoSpaceDE w:val="0"/>
      <w:jc w:val="right"/>
    </w:pPr>
    <w:rPr>
      <w:rFonts w:ascii="Arial" w:hAnsi="Arial" w:cs="Arial"/>
      <w:sz w:val="26"/>
      <w:szCs w:val="26"/>
      <w:lang w:eastAsia="zh-CN"/>
    </w:rPr>
  </w:style>
  <w:style w:type="paragraph" w:customStyle="1" w:styleId="112">
    <w:name w:val="Прижатый влево"/>
    <w:basedOn w:val="1"/>
    <w:next w:val="1"/>
    <w:qFormat/>
    <w:uiPriority w:val="0"/>
    <w:pPr>
      <w:widowControl w:val="0"/>
      <w:suppressAutoHyphens/>
      <w:autoSpaceDE w:val="0"/>
    </w:pPr>
    <w:rPr>
      <w:rFonts w:ascii="Arial" w:hAnsi="Arial" w:cs="Arial"/>
      <w:sz w:val="26"/>
      <w:szCs w:val="26"/>
      <w:lang w:eastAsia="zh-CN"/>
    </w:rPr>
  </w:style>
  <w:style w:type="paragraph" w:customStyle="1" w:styleId="113">
    <w:name w:val="Содержимое таблицы"/>
    <w:basedOn w:val="1"/>
    <w:qFormat/>
    <w:uiPriority w:val="0"/>
    <w:pPr>
      <w:suppressLineNumbers/>
      <w:suppressAutoHyphens/>
    </w:pPr>
    <w:rPr>
      <w:lang w:eastAsia="zh-CN"/>
    </w:rPr>
  </w:style>
  <w:style w:type="paragraph" w:customStyle="1" w:styleId="114">
    <w:name w:val="Заголовок таблицы"/>
    <w:basedOn w:val="113"/>
    <w:qFormat/>
    <w:uiPriority w:val="0"/>
    <w:pPr>
      <w:jc w:val="center"/>
    </w:pPr>
    <w:rPr>
      <w:b/>
      <w:bCs/>
    </w:rPr>
  </w:style>
  <w:style w:type="paragraph" w:customStyle="1" w:styleId="115">
    <w:name w:val="Содержимое врезки"/>
    <w:basedOn w:val="18"/>
    <w:uiPriority w:val="0"/>
    <w:pPr>
      <w:suppressAutoHyphens/>
      <w:jc w:val="both"/>
    </w:pPr>
    <w:rPr>
      <w:sz w:val="24"/>
      <w:szCs w:val="24"/>
      <w:lang w:eastAsia="zh-CN"/>
    </w:rPr>
  </w:style>
  <w:style w:type="paragraph" w:customStyle="1" w:styleId="116">
    <w:name w:val="ConsPlusDocList"/>
    <w:next w:val="1"/>
    <w:uiPriority w:val="0"/>
    <w:pPr>
      <w:widowControl w:val="0"/>
      <w:suppressAutoHyphens/>
      <w:autoSpaceDE w:val="0"/>
      <w:spacing w:after="0" w:line="240" w:lineRule="auto"/>
    </w:pPr>
    <w:rPr>
      <w:rFonts w:ascii="Arial" w:hAnsi="Arial" w:eastAsia="Arial" w:cs="Arial"/>
      <w:kern w:val="1"/>
      <w:sz w:val="20"/>
      <w:szCs w:val="20"/>
      <w:lang w:val="ru-RU" w:eastAsia="zh-CN" w:bidi="hi-IN"/>
    </w:rPr>
  </w:style>
  <w:style w:type="character" w:customStyle="1" w:styleId="117">
    <w:name w:val="Font Style18"/>
    <w:basedOn w:val="25"/>
    <w:uiPriority w:val="0"/>
    <w:rPr>
      <w:rFonts w:ascii="Times New Roman" w:hAnsi="Times New Roman" w:cs="Times New Roman"/>
      <w:spacing w:val="10"/>
      <w:sz w:val="20"/>
      <w:szCs w:val="20"/>
    </w:rPr>
  </w:style>
  <w:style w:type="character" w:customStyle="1" w:styleId="118">
    <w:name w:val="Font Style22"/>
    <w:basedOn w:val="25"/>
    <w:uiPriority w:val="0"/>
    <w:rPr>
      <w:rFonts w:ascii="Times New Roman" w:hAnsi="Times New Roman" w:cs="Times New Roman"/>
      <w:b/>
      <w:bCs/>
      <w:sz w:val="26"/>
      <w:szCs w:val="2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4A5713-008B-4AF6-A46E-18D21D40292B}">
  <ds:schemaRefs/>
</ds:datastoreItem>
</file>

<file path=docProps/app.xml><?xml version="1.0" encoding="utf-8"?>
<Properties xmlns="http://schemas.openxmlformats.org/officeDocument/2006/extended-properties" xmlns:vt="http://schemas.openxmlformats.org/officeDocument/2006/docPropsVTypes">
  <Template>Normal</Template>
  <Pages>1</Pages>
  <Words>5009</Words>
  <Characters>28556</Characters>
  <Lines>237</Lines>
  <Paragraphs>66</Paragraphs>
  <TotalTime>0</TotalTime>
  <ScaleCrop>false</ScaleCrop>
  <LinksUpToDate>false</LinksUpToDate>
  <CharactersWithSpaces>33499</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2020-01-09T07:11:00Z</dcterms:created>
  <dc:creator>Кривошеевка</dc:creator>
  <cp:lastModifiedBy>Н. Пятина</cp:lastModifiedBy>
  <cp:lastPrinted>2020-07-30T13:14:00Z</cp:lastPrinted>
  <dcterms:modified xsi:type="dcterms:W3CDTF">2021-03-09T08:58:41Z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